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E6" w:rsidRDefault="000622E6" w:rsidP="0096540B">
      <w:pPr>
        <w:spacing w:line="360" w:lineRule="auto"/>
        <w:rPr>
          <w:rFonts w:ascii="David" w:hAnsi="David" w:hint="cs"/>
          <w:b/>
          <w:bCs/>
          <w:color w:val="FFFFFF" w:themeColor="background1"/>
          <w:sz w:val="48"/>
          <w:szCs w:val="48"/>
          <w:rtl/>
        </w:rPr>
      </w:pPr>
    </w:p>
    <w:p w:rsidR="000622E6" w:rsidRDefault="000622E6" w:rsidP="00443AB4">
      <w:pPr>
        <w:shd w:val="clear" w:color="auto" w:fill="002060"/>
        <w:spacing w:line="360" w:lineRule="auto"/>
        <w:jc w:val="center"/>
        <w:rPr>
          <w:rFonts w:ascii="David" w:hAnsi="David"/>
          <w:b/>
          <w:bCs/>
          <w:color w:val="FFFFFF" w:themeColor="background1"/>
          <w:sz w:val="48"/>
          <w:szCs w:val="48"/>
          <w:rtl/>
        </w:rPr>
      </w:pPr>
    </w:p>
    <w:p w:rsidR="00806865" w:rsidRPr="00443AB4" w:rsidRDefault="002032B1" w:rsidP="00443AB4">
      <w:pPr>
        <w:shd w:val="clear" w:color="auto" w:fill="002060"/>
        <w:spacing w:line="360" w:lineRule="auto"/>
        <w:jc w:val="center"/>
        <w:rPr>
          <w:rFonts w:ascii="David" w:hAnsi="David"/>
          <w:b/>
          <w:bCs/>
          <w:color w:val="FFFFFF" w:themeColor="background1"/>
          <w:sz w:val="48"/>
          <w:szCs w:val="48"/>
          <w:rtl/>
        </w:rPr>
      </w:pPr>
      <w:r w:rsidRPr="00443AB4">
        <w:rPr>
          <w:rFonts w:ascii="David" w:hAnsi="David" w:hint="cs"/>
          <w:b/>
          <w:bCs/>
          <w:color w:val="FFFFFF" w:themeColor="background1"/>
          <w:sz w:val="48"/>
          <w:szCs w:val="48"/>
          <w:rtl/>
        </w:rPr>
        <w:t xml:space="preserve">עלון הסבר  </w:t>
      </w:r>
    </w:p>
    <w:p w:rsidR="004E66EC" w:rsidRPr="00443AB4" w:rsidRDefault="002032B1" w:rsidP="00443AB4">
      <w:pPr>
        <w:shd w:val="clear" w:color="auto" w:fill="002060"/>
        <w:spacing w:line="360" w:lineRule="auto"/>
        <w:jc w:val="center"/>
        <w:rPr>
          <w:rFonts w:ascii="David" w:hAnsi="David"/>
          <w:b/>
          <w:bCs/>
          <w:color w:val="FFFFFF" w:themeColor="background1"/>
          <w:sz w:val="44"/>
          <w:szCs w:val="44"/>
          <w:rtl/>
        </w:rPr>
      </w:pPr>
      <w:r w:rsidRPr="00443AB4">
        <w:rPr>
          <w:rFonts w:ascii="David" w:hAnsi="David" w:hint="cs"/>
          <w:b/>
          <w:bCs/>
          <w:color w:val="FFFFFF" w:themeColor="background1"/>
          <w:sz w:val="44"/>
          <w:szCs w:val="44"/>
          <w:rtl/>
        </w:rPr>
        <w:t xml:space="preserve">צו איסור הלבנת הון </w:t>
      </w:r>
    </w:p>
    <w:p w:rsidR="004C1523" w:rsidRPr="00443AB4" w:rsidRDefault="002032B1" w:rsidP="00443AB4">
      <w:pPr>
        <w:shd w:val="clear" w:color="auto" w:fill="002060"/>
        <w:spacing w:line="360" w:lineRule="auto"/>
        <w:jc w:val="center"/>
        <w:rPr>
          <w:rFonts w:ascii="David" w:hAnsi="David"/>
          <w:b/>
          <w:bCs/>
          <w:color w:val="FFFFFF" w:themeColor="background1"/>
          <w:sz w:val="44"/>
          <w:szCs w:val="44"/>
          <w:rtl/>
        </w:rPr>
      </w:pPr>
      <w:r w:rsidRPr="00443AB4">
        <w:rPr>
          <w:rFonts w:ascii="David" w:hAnsi="David" w:hint="cs"/>
          <w:b/>
          <w:bCs/>
          <w:color w:val="FFFFFF" w:themeColor="background1"/>
          <w:sz w:val="44"/>
          <w:szCs w:val="44"/>
          <w:rtl/>
        </w:rPr>
        <w:t xml:space="preserve">(חובות זיהוי, דיווח וניהול רישומים של נותני שירות בנכס פיננסי ונותני שירותי אשראי למניעת הלבנת הון ומימון טרור) </w:t>
      </w:r>
    </w:p>
    <w:p w:rsidR="00F13CDF" w:rsidRDefault="002032B1" w:rsidP="00443AB4">
      <w:pPr>
        <w:shd w:val="clear" w:color="auto" w:fill="002060"/>
        <w:spacing w:line="360" w:lineRule="auto"/>
        <w:jc w:val="center"/>
        <w:rPr>
          <w:rFonts w:ascii="David" w:hAnsi="David"/>
          <w:b/>
          <w:bCs/>
          <w:color w:val="FFFFFF" w:themeColor="background1"/>
          <w:sz w:val="44"/>
          <w:szCs w:val="44"/>
          <w:rtl/>
        </w:rPr>
      </w:pPr>
      <w:r w:rsidRPr="00443AB4">
        <w:rPr>
          <w:rFonts w:ascii="David" w:hAnsi="David" w:hint="cs"/>
          <w:b/>
          <w:bCs/>
          <w:color w:val="FFFFFF" w:themeColor="background1"/>
          <w:sz w:val="44"/>
          <w:szCs w:val="44"/>
          <w:rtl/>
        </w:rPr>
        <w:t xml:space="preserve">התשע"ח </w:t>
      </w:r>
      <w:r w:rsidR="00DC0BDA" w:rsidRPr="00443AB4">
        <w:rPr>
          <w:rFonts w:ascii="David" w:hAnsi="David"/>
          <w:b/>
          <w:bCs/>
          <w:color w:val="FFFFFF" w:themeColor="background1"/>
          <w:sz w:val="44"/>
          <w:szCs w:val="44"/>
          <w:rtl/>
        </w:rPr>
        <w:t>–</w:t>
      </w:r>
      <w:r w:rsidRPr="00443AB4">
        <w:rPr>
          <w:rFonts w:ascii="David" w:hAnsi="David" w:hint="cs"/>
          <w:b/>
          <w:bCs/>
          <w:color w:val="FFFFFF" w:themeColor="background1"/>
          <w:sz w:val="44"/>
          <w:szCs w:val="44"/>
          <w:rtl/>
        </w:rPr>
        <w:t xml:space="preserve"> 2018</w:t>
      </w:r>
    </w:p>
    <w:p w:rsidR="00443AB4" w:rsidRPr="00443AB4" w:rsidRDefault="00443AB4" w:rsidP="00443AB4">
      <w:pPr>
        <w:shd w:val="clear" w:color="auto" w:fill="002060"/>
        <w:spacing w:line="360" w:lineRule="auto"/>
        <w:jc w:val="center"/>
        <w:rPr>
          <w:rFonts w:ascii="David" w:hAnsi="David"/>
          <w:b/>
          <w:bCs/>
          <w:color w:val="FFFFFF" w:themeColor="background1"/>
          <w:sz w:val="44"/>
          <w:szCs w:val="44"/>
          <w:rtl/>
        </w:rPr>
      </w:pPr>
    </w:p>
    <w:p w:rsidR="00443AB4" w:rsidRDefault="00443AB4" w:rsidP="004C1523">
      <w:pPr>
        <w:spacing w:line="360" w:lineRule="auto"/>
        <w:rPr>
          <w:rFonts w:ascii="David" w:hAnsi="David"/>
          <w:b/>
          <w:bCs/>
          <w:sz w:val="32"/>
          <w:szCs w:val="32"/>
          <w:rtl/>
        </w:rPr>
      </w:pPr>
    </w:p>
    <w:tbl>
      <w:tblPr>
        <w:tblStyle w:val="ad"/>
        <w:tblpPr w:leftFromText="180" w:rightFromText="180" w:vertAnchor="text" w:horzAnchor="margin" w:tblpY="348"/>
        <w:bidiVisual/>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8276"/>
      </w:tblGrid>
      <w:tr w:rsidR="00111E3B" w:rsidTr="00443AB4">
        <w:tc>
          <w:tcPr>
            <w:tcW w:w="8296" w:type="dxa"/>
            <w:shd w:val="clear" w:color="auto" w:fill="auto"/>
          </w:tcPr>
          <w:p w:rsidR="00111E3B" w:rsidRDefault="00111E3B" w:rsidP="00111E3B">
            <w:pPr>
              <w:spacing w:line="360" w:lineRule="auto"/>
              <w:jc w:val="center"/>
              <w:rPr>
                <w:rFonts w:ascii="David" w:hAnsi="David"/>
                <w:b/>
                <w:bCs/>
                <w:sz w:val="32"/>
                <w:szCs w:val="32"/>
                <w:rtl/>
              </w:rPr>
            </w:pPr>
          </w:p>
          <w:p w:rsidR="00111E3B" w:rsidRDefault="00111E3B" w:rsidP="00111E3B">
            <w:pPr>
              <w:spacing w:line="360" w:lineRule="auto"/>
              <w:jc w:val="both"/>
              <w:rPr>
                <w:rFonts w:ascii="David" w:hAnsi="David"/>
                <w:b/>
                <w:bCs/>
                <w:rtl/>
              </w:rPr>
            </w:pPr>
            <w:r w:rsidRPr="003031B3">
              <w:rPr>
                <w:rFonts w:ascii="David" w:hAnsi="David" w:hint="cs"/>
                <w:b/>
                <w:bCs/>
                <w:rtl/>
              </w:rPr>
              <w:t>מטרת עלון זה היא לסייע לנותני שירות בנכס פיננסי ולנותני שירותי אשראי לקיים את חובותיהם לפי משטר איסור הלבנת הון ומימון טרור. העלון כולל הסבר בנוגע לחובות החלות לפי צו איסור</w:t>
            </w:r>
            <w:r w:rsidRPr="003031B3">
              <w:rPr>
                <w:rFonts w:ascii="David" w:hAnsi="David"/>
                <w:b/>
                <w:bCs/>
                <w:rtl/>
              </w:rPr>
              <w:t xml:space="preserve"> </w:t>
            </w:r>
            <w:r w:rsidRPr="003031B3">
              <w:rPr>
                <w:rFonts w:ascii="David" w:hAnsi="David" w:hint="cs"/>
                <w:b/>
                <w:bCs/>
                <w:rtl/>
              </w:rPr>
              <w:t>הלבנת</w:t>
            </w:r>
            <w:r w:rsidRPr="003031B3">
              <w:rPr>
                <w:rFonts w:ascii="David" w:hAnsi="David"/>
                <w:b/>
                <w:bCs/>
                <w:rtl/>
              </w:rPr>
              <w:t xml:space="preserve"> </w:t>
            </w:r>
            <w:r w:rsidRPr="003031B3">
              <w:rPr>
                <w:rFonts w:ascii="David" w:hAnsi="David" w:hint="cs"/>
                <w:b/>
                <w:bCs/>
                <w:rtl/>
              </w:rPr>
              <w:t>הון</w:t>
            </w:r>
            <w:r w:rsidRPr="003031B3">
              <w:rPr>
                <w:rFonts w:ascii="David" w:hAnsi="David"/>
                <w:b/>
                <w:bCs/>
                <w:rtl/>
              </w:rPr>
              <w:t xml:space="preserve"> (</w:t>
            </w:r>
            <w:r w:rsidRPr="003031B3">
              <w:rPr>
                <w:rFonts w:ascii="David" w:hAnsi="David" w:hint="cs"/>
                <w:b/>
                <w:bCs/>
                <w:rtl/>
              </w:rPr>
              <w:t>חובות</w:t>
            </w:r>
            <w:r w:rsidRPr="003031B3">
              <w:rPr>
                <w:rFonts w:ascii="David" w:hAnsi="David"/>
                <w:b/>
                <w:bCs/>
                <w:rtl/>
              </w:rPr>
              <w:t xml:space="preserve"> </w:t>
            </w:r>
            <w:r w:rsidRPr="003031B3">
              <w:rPr>
                <w:rFonts w:ascii="David" w:hAnsi="David" w:hint="cs"/>
                <w:b/>
                <w:bCs/>
                <w:rtl/>
              </w:rPr>
              <w:t>זיהוי</w:t>
            </w:r>
            <w:r w:rsidRPr="003031B3">
              <w:rPr>
                <w:rFonts w:ascii="David" w:hAnsi="David"/>
                <w:b/>
                <w:bCs/>
                <w:rtl/>
              </w:rPr>
              <w:t xml:space="preserve">, </w:t>
            </w:r>
            <w:r w:rsidRPr="003031B3">
              <w:rPr>
                <w:rFonts w:ascii="David" w:hAnsi="David" w:hint="cs"/>
                <w:b/>
                <w:bCs/>
                <w:rtl/>
              </w:rPr>
              <w:t>דיווח</w:t>
            </w:r>
            <w:r w:rsidRPr="003031B3">
              <w:rPr>
                <w:rFonts w:ascii="David" w:hAnsi="David"/>
                <w:b/>
                <w:bCs/>
                <w:rtl/>
              </w:rPr>
              <w:t xml:space="preserve"> </w:t>
            </w:r>
            <w:r w:rsidRPr="003031B3">
              <w:rPr>
                <w:rFonts w:ascii="David" w:hAnsi="David" w:hint="cs"/>
                <w:b/>
                <w:bCs/>
                <w:rtl/>
              </w:rPr>
              <w:t>וניהול</w:t>
            </w:r>
            <w:r w:rsidRPr="003031B3">
              <w:rPr>
                <w:rFonts w:ascii="David" w:hAnsi="David"/>
                <w:b/>
                <w:bCs/>
                <w:rtl/>
              </w:rPr>
              <w:t xml:space="preserve"> </w:t>
            </w:r>
            <w:r w:rsidRPr="003031B3">
              <w:rPr>
                <w:rFonts w:ascii="David" w:hAnsi="David" w:hint="cs"/>
                <w:b/>
                <w:bCs/>
                <w:rtl/>
              </w:rPr>
              <w:t>רישומים</w:t>
            </w:r>
            <w:r w:rsidRPr="003031B3">
              <w:rPr>
                <w:rFonts w:ascii="David" w:hAnsi="David"/>
                <w:b/>
                <w:bCs/>
                <w:rtl/>
              </w:rPr>
              <w:t xml:space="preserve"> </w:t>
            </w:r>
            <w:r w:rsidRPr="003031B3">
              <w:rPr>
                <w:rFonts w:ascii="David" w:hAnsi="David" w:hint="cs"/>
                <w:b/>
                <w:bCs/>
                <w:rtl/>
              </w:rPr>
              <w:t>של</w:t>
            </w:r>
            <w:r w:rsidRPr="003031B3">
              <w:rPr>
                <w:rFonts w:ascii="David" w:hAnsi="David"/>
                <w:b/>
                <w:bCs/>
                <w:rtl/>
              </w:rPr>
              <w:t xml:space="preserve"> </w:t>
            </w:r>
            <w:r w:rsidRPr="003031B3">
              <w:rPr>
                <w:rFonts w:ascii="David" w:hAnsi="David" w:hint="cs"/>
                <w:b/>
                <w:bCs/>
                <w:rtl/>
              </w:rPr>
              <w:t>נותני</w:t>
            </w:r>
            <w:r w:rsidRPr="003031B3">
              <w:rPr>
                <w:rFonts w:ascii="David" w:hAnsi="David"/>
                <w:b/>
                <w:bCs/>
                <w:rtl/>
              </w:rPr>
              <w:t xml:space="preserve"> </w:t>
            </w:r>
            <w:r w:rsidRPr="003031B3">
              <w:rPr>
                <w:rFonts w:ascii="David" w:hAnsi="David" w:hint="cs"/>
                <w:b/>
                <w:bCs/>
                <w:rtl/>
              </w:rPr>
              <w:t>שירות</w:t>
            </w:r>
            <w:r w:rsidRPr="003031B3">
              <w:rPr>
                <w:rFonts w:ascii="David" w:hAnsi="David"/>
                <w:b/>
                <w:bCs/>
                <w:rtl/>
              </w:rPr>
              <w:t xml:space="preserve"> </w:t>
            </w:r>
            <w:r w:rsidRPr="003031B3">
              <w:rPr>
                <w:rFonts w:ascii="David" w:hAnsi="David" w:hint="cs"/>
                <w:b/>
                <w:bCs/>
                <w:rtl/>
              </w:rPr>
              <w:t>בנכס</w:t>
            </w:r>
            <w:r w:rsidRPr="003031B3">
              <w:rPr>
                <w:rFonts w:ascii="David" w:hAnsi="David"/>
                <w:b/>
                <w:bCs/>
                <w:rtl/>
              </w:rPr>
              <w:t xml:space="preserve"> </w:t>
            </w:r>
            <w:r w:rsidRPr="003031B3">
              <w:rPr>
                <w:rFonts w:ascii="David" w:hAnsi="David" w:hint="cs"/>
                <w:b/>
                <w:bCs/>
                <w:rtl/>
              </w:rPr>
              <w:t>פיננסי</w:t>
            </w:r>
            <w:r w:rsidRPr="003031B3">
              <w:rPr>
                <w:rFonts w:ascii="David" w:hAnsi="David"/>
                <w:b/>
                <w:bCs/>
                <w:rtl/>
              </w:rPr>
              <w:t xml:space="preserve"> </w:t>
            </w:r>
            <w:r w:rsidRPr="003031B3">
              <w:rPr>
                <w:rFonts w:ascii="David" w:hAnsi="David" w:hint="cs"/>
                <w:b/>
                <w:bCs/>
                <w:rtl/>
              </w:rPr>
              <w:t>ונותני</w:t>
            </w:r>
            <w:r w:rsidRPr="003031B3">
              <w:rPr>
                <w:rFonts w:ascii="David" w:hAnsi="David"/>
                <w:b/>
                <w:bCs/>
                <w:rtl/>
              </w:rPr>
              <w:t xml:space="preserve"> </w:t>
            </w:r>
            <w:r w:rsidRPr="003031B3">
              <w:rPr>
                <w:rFonts w:ascii="David" w:hAnsi="David" w:hint="cs"/>
                <w:b/>
                <w:bCs/>
                <w:rtl/>
              </w:rPr>
              <w:t>שירותי</w:t>
            </w:r>
            <w:r w:rsidRPr="003031B3">
              <w:rPr>
                <w:rFonts w:ascii="David" w:hAnsi="David"/>
                <w:b/>
                <w:bCs/>
                <w:rtl/>
              </w:rPr>
              <w:t xml:space="preserve"> </w:t>
            </w:r>
            <w:r w:rsidRPr="003031B3">
              <w:rPr>
                <w:rFonts w:ascii="David" w:hAnsi="David" w:hint="cs"/>
                <w:b/>
                <w:bCs/>
                <w:rtl/>
              </w:rPr>
              <w:t>אשראי</w:t>
            </w:r>
            <w:r w:rsidRPr="003031B3">
              <w:rPr>
                <w:rFonts w:ascii="David" w:hAnsi="David"/>
                <w:b/>
                <w:bCs/>
                <w:rtl/>
              </w:rPr>
              <w:t xml:space="preserve"> </w:t>
            </w:r>
            <w:r w:rsidRPr="003031B3">
              <w:rPr>
                <w:rFonts w:ascii="David" w:hAnsi="David" w:hint="cs"/>
                <w:b/>
                <w:bCs/>
                <w:rtl/>
              </w:rPr>
              <w:t>למניעת</w:t>
            </w:r>
            <w:r w:rsidRPr="003031B3">
              <w:rPr>
                <w:rFonts w:ascii="David" w:hAnsi="David"/>
                <w:b/>
                <w:bCs/>
                <w:rtl/>
              </w:rPr>
              <w:t xml:space="preserve"> </w:t>
            </w:r>
            <w:r w:rsidRPr="003031B3">
              <w:rPr>
                <w:rFonts w:ascii="David" w:hAnsi="David" w:hint="cs"/>
                <w:b/>
                <w:bCs/>
                <w:rtl/>
              </w:rPr>
              <w:t>הלבנת</w:t>
            </w:r>
            <w:r w:rsidRPr="003031B3">
              <w:rPr>
                <w:rFonts w:ascii="David" w:hAnsi="David"/>
                <w:b/>
                <w:bCs/>
                <w:rtl/>
              </w:rPr>
              <w:t xml:space="preserve"> </w:t>
            </w:r>
            <w:r w:rsidRPr="003031B3">
              <w:rPr>
                <w:rFonts w:ascii="David" w:hAnsi="David" w:hint="cs"/>
                <w:b/>
                <w:bCs/>
                <w:rtl/>
              </w:rPr>
              <w:t>הון</w:t>
            </w:r>
            <w:r w:rsidRPr="003031B3">
              <w:rPr>
                <w:rFonts w:ascii="David" w:hAnsi="David"/>
                <w:b/>
                <w:bCs/>
                <w:rtl/>
              </w:rPr>
              <w:t xml:space="preserve"> </w:t>
            </w:r>
            <w:r w:rsidRPr="003031B3">
              <w:rPr>
                <w:rFonts w:ascii="David" w:hAnsi="David" w:hint="cs"/>
                <w:b/>
                <w:bCs/>
                <w:rtl/>
              </w:rPr>
              <w:t>ומימון</w:t>
            </w:r>
            <w:r w:rsidRPr="003031B3">
              <w:rPr>
                <w:rFonts w:ascii="David" w:hAnsi="David"/>
                <w:b/>
                <w:bCs/>
                <w:rtl/>
              </w:rPr>
              <w:t xml:space="preserve"> </w:t>
            </w:r>
            <w:r w:rsidRPr="003031B3">
              <w:rPr>
                <w:rFonts w:ascii="David" w:hAnsi="David" w:hint="cs"/>
                <w:b/>
                <w:bCs/>
                <w:rtl/>
              </w:rPr>
              <w:t>טרור</w:t>
            </w:r>
            <w:r w:rsidRPr="003031B3">
              <w:rPr>
                <w:rFonts w:ascii="David" w:hAnsi="David"/>
                <w:b/>
                <w:bCs/>
                <w:rtl/>
              </w:rPr>
              <w:t xml:space="preserve">) </w:t>
            </w:r>
            <w:r w:rsidRPr="003031B3">
              <w:rPr>
                <w:rFonts w:ascii="David" w:hAnsi="David" w:hint="cs"/>
                <w:b/>
                <w:bCs/>
                <w:rtl/>
              </w:rPr>
              <w:t>התשע</w:t>
            </w:r>
            <w:r w:rsidRPr="003031B3">
              <w:rPr>
                <w:rFonts w:ascii="David" w:hAnsi="David"/>
                <w:b/>
                <w:bCs/>
                <w:rtl/>
              </w:rPr>
              <w:t>"</w:t>
            </w:r>
            <w:r w:rsidRPr="003031B3">
              <w:rPr>
                <w:rFonts w:ascii="David" w:hAnsi="David" w:hint="cs"/>
                <w:b/>
                <w:bCs/>
                <w:rtl/>
              </w:rPr>
              <w:t>ח</w:t>
            </w:r>
            <w:r w:rsidRPr="003031B3">
              <w:rPr>
                <w:rFonts w:ascii="David" w:hAnsi="David" w:hint="eastAsia"/>
                <w:b/>
                <w:bCs/>
                <w:rtl/>
              </w:rPr>
              <w:t>–</w:t>
            </w:r>
            <w:r w:rsidRPr="003031B3">
              <w:rPr>
                <w:rFonts w:ascii="David" w:hAnsi="David"/>
                <w:b/>
                <w:bCs/>
                <w:rtl/>
              </w:rPr>
              <w:t xml:space="preserve"> 2018</w:t>
            </w:r>
            <w:r w:rsidRPr="003031B3">
              <w:rPr>
                <w:rFonts w:ascii="David" w:hAnsi="David" w:hint="cs"/>
                <w:b/>
                <w:bCs/>
                <w:rtl/>
              </w:rPr>
              <w:t xml:space="preserve"> (להלן: "הצו" או "צו נש"פים").</w:t>
            </w:r>
          </w:p>
          <w:p w:rsidR="00111E3B" w:rsidRPr="003031B3" w:rsidRDefault="00111E3B" w:rsidP="00111E3B">
            <w:pPr>
              <w:spacing w:line="360" w:lineRule="auto"/>
              <w:jc w:val="both"/>
              <w:rPr>
                <w:rFonts w:ascii="David" w:hAnsi="David"/>
                <w:b/>
                <w:bCs/>
                <w:rtl/>
              </w:rPr>
            </w:pPr>
          </w:p>
          <w:p w:rsidR="00111E3B" w:rsidRDefault="00111E3B" w:rsidP="00111E3B">
            <w:pPr>
              <w:spacing w:line="360" w:lineRule="auto"/>
              <w:jc w:val="both"/>
              <w:rPr>
                <w:rFonts w:ascii="David" w:hAnsi="David"/>
                <w:b/>
                <w:bCs/>
                <w:rtl/>
              </w:rPr>
            </w:pPr>
            <w:r w:rsidRPr="003031B3">
              <w:rPr>
                <w:rFonts w:ascii="David" w:hAnsi="David"/>
                <w:b/>
                <w:bCs/>
                <w:rtl/>
              </w:rPr>
              <w:t xml:space="preserve">האמור </w:t>
            </w:r>
            <w:r w:rsidRPr="003031B3">
              <w:rPr>
                <w:rFonts w:ascii="David" w:hAnsi="David" w:hint="cs"/>
                <w:b/>
                <w:bCs/>
                <w:rtl/>
              </w:rPr>
              <w:t xml:space="preserve">בעלון </w:t>
            </w:r>
            <w:r w:rsidRPr="003031B3">
              <w:rPr>
                <w:rFonts w:ascii="David" w:hAnsi="David"/>
                <w:b/>
                <w:bCs/>
                <w:rtl/>
              </w:rPr>
              <w:t xml:space="preserve">מהווה סיכום תמציתי של החובות החלות על נותני שירות בנכס פיננסי ונתוני שירותי אשראי. יש להדגיש כי </w:t>
            </w:r>
            <w:r w:rsidRPr="003031B3">
              <w:rPr>
                <w:rFonts w:ascii="David" w:hAnsi="David" w:hint="cs"/>
                <w:b/>
                <w:bCs/>
                <w:rtl/>
              </w:rPr>
              <w:t>העלון</w:t>
            </w:r>
            <w:r w:rsidRPr="003031B3">
              <w:rPr>
                <w:rFonts w:ascii="David" w:hAnsi="David"/>
                <w:b/>
                <w:bCs/>
                <w:rtl/>
              </w:rPr>
              <w:t xml:space="preserve"> אינו מהווה כל תחליף לקריאת והבנת הוראות הדין הרלוונטי. בכל מקרה של סתירה בין האמור בחוברת לאמור בחוק ובצו, האחרונים גוברים.</w:t>
            </w:r>
          </w:p>
          <w:p w:rsidR="00111E3B" w:rsidRDefault="00111E3B" w:rsidP="00111E3B">
            <w:pPr>
              <w:spacing w:line="360" w:lineRule="auto"/>
              <w:jc w:val="both"/>
              <w:rPr>
                <w:rFonts w:ascii="David" w:hAnsi="David"/>
                <w:b/>
                <w:bCs/>
                <w:rtl/>
              </w:rPr>
            </w:pPr>
          </w:p>
        </w:tc>
      </w:tr>
    </w:tbl>
    <w:p w:rsidR="00806865" w:rsidRDefault="00806865" w:rsidP="004C1523">
      <w:pPr>
        <w:spacing w:line="360" w:lineRule="auto"/>
        <w:rPr>
          <w:rFonts w:ascii="David" w:hAnsi="David"/>
          <w:b/>
          <w:bCs/>
          <w:sz w:val="32"/>
          <w:szCs w:val="32"/>
          <w:rtl/>
        </w:rPr>
      </w:pPr>
    </w:p>
    <w:p w:rsidR="00806865" w:rsidRDefault="00806865" w:rsidP="004C1523">
      <w:pPr>
        <w:spacing w:line="360" w:lineRule="auto"/>
        <w:rPr>
          <w:rFonts w:ascii="David" w:hAnsi="David"/>
          <w:b/>
          <w:bCs/>
          <w:sz w:val="32"/>
          <w:szCs w:val="32"/>
          <w:rtl/>
        </w:rPr>
      </w:pPr>
    </w:p>
    <w:p w:rsidR="00806865" w:rsidRDefault="00806865" w:rsidP="004C1523">
      <w:pPr>
        <w:spacing w:line="360" w:lineRule="auto"/>
        <w:rPr>
          <w:rFonts w:ascii="David" w:hAnsi="David"/>
          <w:b/>
          <w:bCs/>
          <w:sz w:val="32"/>
          <w:szCs w:val="32"/>
          <w:rtl/>
        </w:rPr>
      </w:pPr>
    </w:p>
    <w:tbl>
      <w:tblPr>
        <w:tblStyle w:val="ad"/>
        <w:tblpPr w:leftFromText="180" w:rightFromText="180" w:vertAnchor="text" w:horzAnchor="page" w:tblpX="7351" w:tblpY="226"/>
        <w:bidiVisual/>
        <w:tblW w:w="0" w:type="auto"/>
        <w:tblLook w:val="04A0" w:firstRow="1" w:lastRow="0" w:firstColumn="1" w:lastColumn="0" w:noHBand="0" w:noVBand="1"/>
      </w:tblPr>
      <w:tblGrid>
        <w:gridCol w:w="4531"/>
      </w:tblGrid>
      <w:tr w:rsidR="00806865" w:rsidTr="000622E6">
        <w:tc>
          <w:tcPr>
            <w:tcW w:w="4531" w:type="dxa"/>
            <w:tcBorders>
              <w:top w:val="nil"/>
              <w:left w:val="nil"/>
              <w:bottom w:val="nil"/>
              <w:right w:val="nil"/>
            </w:tcBorders>
            <w:shd w:val="clear" w:color="auto" w:fill="002060"/>
          </w:tcPr>
          <w:p w:rsidR="00806865" w:rsidRPr="00845397" w:rsidRDefault="00806865" w:rsidP="000622E6">
            <w:pPr>
              <w:pStyle w:val="af1"/>
              <w:ind w:left="720"/>
              <w:rPr>
                <w:rFonts w:ascii="David" w:hAnsi="David" w:cs="David"/>
                <w:b/>
                <w:bCs/>
                <w:cs w:val="0"/>
              </w:rPr>
            </w:pPr>
            <w:r w:rsidRPr="00845397">
              <w:rPr>
                <w:rFonts w:ascii="David" w:hAnsi="David" w:cs="David"/>
                <w:b/>
                <w:bCs/>
                <w:color w:val="FFFFFF" w:themeColor="background1"/>
                <w:cs w:val="0"/>
              </w:rPr>
              <w:lastRenderedPageBreak/>
              <w:t>תוכן</w:t>
            </w:r>
          </w:p>
          <w:p w:rsidR="00806865" w:rsidRPr="003773A7" w:rsidRDefault="00806865" w:rsidP="000622E6">
            <w:pPr>
              <w:rPr>
                <w:rtl/>
                <w:cs/>
              </w:rPr>
            </w:pPr>
          </w:p>
        </w:tc>
      </w:tr>
    </w:tbl>
    <w:p w:rsidR="00806865" w:rsidRDefault="00806865" w:rsidP="004C1523">
      <w:pPr>
        <w:spacing w:line="360" w:lineRule="auto"/>
        <w:rPr>
          <w:rFonts w:ascii="David" w:hAnsi="David"/>
          <w:b/>
          <w:bCs/>
          <w:sz w:val="32"/>
          <w:szCs w:val="32"/>
          <w:rtl/>
        </w:rPr>
      </w:pPr>
    </w:p>
    <w:sdt>
      <w:sdtPr>
        <w:rPr>
          <w:rtl/>
          <w:lang w:val="he-IL"/>
        </w:rPr>
        <w:id w:val="-1165707593"/>
        <w:docPartObj>
          <w:docPartGallery w:val="Table of Contents"/>
          <w:docPartUnique/>
        </w:docPartObj>
      </w:sdtPr>
      <w:sdtEndPr>
        <w:rPr>
          <w:b/>
          <w:bCs/>
        </w:rPr>
      </w:sdtEndPr>
      <w:sdtContent>
        <w:p w:rsidR="003773A7" w:rsidRPr="003773A7" w:rsidRDefault="003773A7" w:rsidP="003773A7"/>
        <w:bookmarkStart w:id="0" w:name="_GoBack"/>
        <w:bookmarkEnd w:id="0"/>
        <w:p w:rsidR="00442814" w:rsidRDefault="002032B1">
          <w:pPr>
            <w:pStyle w:val="TOC1"/>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85982149" w:history="1">
            <w:r w:rsidR="00442814" w:rsidRPr="00426365">
              <w:rPr>
                <w:rStyle w:val="Hyperlink"/>
                <w:rFonts w:ascii="David" w:hAnsi="David"/>
                <w:b/>
                <w:bCs/>
                <w:noProof/>
                <w:rtl/>
              </w:rPr>
              <w:t>על מי חל הצו?</w:t>
            </w:r>
            <w:r w:rsidR="00442814">
              <w:rPr>
                <w:noProof/>
                <w:webHidden/>
                <w:rtl/>
              </w:rPr>
              <w:tab/>
            </w:r>
            <w:r w:rsidR="00442814">
              <w:rPr>
                <w:rStyle w:val="Hyperlink"/>
                <w:noProof/>
                <w:rtl/>
              </w:rPr>
              <w:fldChar w:fldCharType="begin"/>
            </w:r>
            <w:r w:rsidR="00442814">
              <w:rPr>
                <w:noProof/>
                <w:webHidden/>
                <w:rtl/>
              </w:rPr>
              <w:instrText xml:space="preserve"> </w:instrText>
            </w:r>
            <w:r w:rsidR="00442814">
              <w:rPr>
                <w:noProof/>
                <w:webHidden/>
              </w:rPr>
              <w:instrText>PAGEREF</w:instrText>
            </w:r>
            <w:r w:rsidR="00442814">
              <w:rPr>
                <w:noProof/>
                <w:webHidden/>
                <w:rtl/>
              </w:rPr>
              <w:instrText xml:space="preserve"> _</w:instrText>
            </w:r>
            <w:r w:rsidR="00442814">
              <w:rPr>
                <w:noProof/>
                <w:webHidden/>
              </w:rPr>
              <w:instrText>Toc85982149 \h</w:instrText>
            </w:r>
            <w:r w:rsidR="00442814">
              <w:rPr>
                <w:noProof/>
                <w:webHidden/>
                <w:rtl/>
              </w:rPr>
              <w:instrText xml:space="preserve"> </w:instrText>
            </w:r>
            <w:r w:rsidR="00442814">
              <w:rPr>
                <w:rStyle w:val="Hyperlink"/>
                <w:noProof/>
                <w:rtl/>
              </w:rPr>
            </w:r>
            <w:r w:rsidR="00442814">
              <w:rPr>
                <w:rStyle w:val="Hyperlink"/>
                <w:noProof/>
                <w:rtl/>
              </w:rPr>
              <w:fldChar w:fldCharType="separate"/>
            </w:r>
            <w:r w:rsidR="00442814">
              <w:rPr>
                <w:noProof/>
                <w:webHidden/>
                <w:rtl/>
              </w:rPr>
              <w:t>3</w:t>
            </w:r>
            <w:r w:rsidR="00442814">
              <w:rPr>
                <w:rStyle w:val="Hyperlink"/>
                <w:noProof/>
                <w:rtl/>
              </w:rPr>
              <w:fldChar w:fldCharType="end"/>
            </w:r>
          </w:hyperlink>
        </w:p>
        <w:p w:rsidR="00442814" w:rsidRDefault="00442814">
          <w:pPr>
            <w:pStyle w:val="TOC1"/>
            <w:rPr>
              <w:rFonts w:asciiTheme="minorHAnsi" w:eastAsiaTheme="minorEastAsia" w:hAnsiTheme="minorHAnsi" w:cstheme="minorBidi"/>
              <w:noProof/>
              <w:sz w:val="22"/>
              <w:szCs w:val="22"/>
              <w:rtl/>
            </w:rPr>
          </w:pPr>
          <w:hyperlink w:anchor="_Toc85982150" w:history="1">
            <w:r w:rsidRPr="00426365">
              <w:rPr>
                <w:rStyle w:val="Hyperlink"/>
                <w:rFonts w:ascii="David" w:hAnsi="David"/>
                <w:b/>
                <w:bCs/>
                <w:noProof/>
                <w:rtl/>
              </w:rPr>
              <w:t>החובות הקבועות בצו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Toc85982150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1" w:history="1">
            <w:r w:rsidRPr="00426365">
              <w:rPr>
                <w:rStyle w:val="Hyperlink"/>
                <w:rFonts w:ascii="David" w:hAnsi="David"/>
                <w:noProof/>
                <w:rtl/>
              </w:rPr>
              <w:t>1. הליך הכרת הלקוח - סעיף 2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Toc85982151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2" w:history="1">
            <w:r w:rsidRPr="00426365">
              <w:rPr>
                <w:rStyle w:val="Hyperlink"/>
                <w:rFonts w:ascii="David" w:hAnsi="David"/>
                <w:noProof/>
                <w:rtl/>
              </w:rPr>
              <w:t>2. רישום ואימות פרטי זיהוי – סעיפים 3 ו-4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Toc85982152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3" w:history="1">
            <w:r w:rsidRPr="00426365">
              <w:rPr>
                <w:rStyle w:val="Hyperlink"/>
                <w:rFonts w:ascii="David" w:hAnsi="David"/>
                <w:noProof/>
                <w:rtl/>
              </w:rPr>
              <w:t>3. הצהרה על נהנה ועל בעל שליטה – סעיפים 3(ב), 3(ג), 4(ד) ו-5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4" w:history="1">
            <w:r w:rsidRPr="00426365">
              <w:rPr>
                <w:rStyle w:val="Hyperlink"/>
                <w:rFonts w:ascii="David" w:hAnsi="David"/>
                <w:noProof/>
                <w:rtl/>
              </w:rPr>
              <w:t>4. זיהוי פנים אל פנים – סעיף 6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Toc85982154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5" w:history="1">
            <w:r w:rsidRPr="00426365">
              <w:rPr>
                <w:rStyle w:val="Hyperlink"/>
                <w:rFonts w:ascii="David" w:hAnsi="David"/>
                <w:noProof/>
                <w:rtl/>
              </w:rPr>
              <w:t>5. הקלות בזיהוי פנים אל פנים במתן שירות באמצעות מערכת סגורה – סעיף 7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Toc85982155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6" w:history="1">
            <w:r w:rsidRPr="00426365">
              <w:rPr>
                <w:rStyle w:val="Hyperlink"/>
                <w:rFonts w:ascii="David" w:hAnsi="David"/>
                <w:noProof/>
                <w:rtl/>
              </w:rPr>
              <w:t>6. העברות אלקטרוניות והעברות של מטבע וירטואלי – סעיף 7א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7" w:history="1">
            <w:r w:rsidRPr="00426365">
              <w:rPr>
                <w:rStyle w:val="Hyperlink"/>
                <w:rFonts w:ascii="David" w:hAnsi="David"/>
                <w:noProof/>
                <w:rtl/>
              </w:rPr>
              <w:t>7. הוראות חלופיות לזיהוי ואימות פרטים ודרישת מסמכים – סעיף 8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8" w:history="1">
            <w:r w:rsidRPr="00426365">
              <w:rPr>
                <w:rStyle w:val="Hyperlink"/>
                <w:rFonts w:ascii="David" w:hAnsi="David"/>
                <w:noProof/>
                <w:rtl/>
              </w:rPr>
              <w:t>8. ביטול פטורים והקלות – סעיף 9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Toc85982158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59" w:history="1">
            <w:r w:rsidRPr="00426365">
              <w:rPr>
                <w:rStyle w:val="Hyperlink"/>
                <w:rFonts w:ascii="David" w:hAnsi="David"/>
                <w:noProof/>
                <w:rtl/>
              </w:rPr>
              <w:t>9. חובת ביצוע בקרה – סעיף 10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Toc85982159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0" w:history="1">
            <w:r w:rsidRPr="00426365">
              <w:rPr>
                <w:rStyle w:val="Hyperlink"/>
                <w:rFonts w:ascii="David" w:hAnsi="David"/>
                <w:noProof/>
                <w:rtl/>
              </w:rPr>
              <w:t>10.  חובות דיווח – סעיף 11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Toc85982160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1" w:history="1">
            <w:r w:rsidRPr="00426365">
              <w:rPr>
                <w:rStyle w:val="Hyperlink"/>
                <w:rFonts w:ascii="David" w:hAnsi="David"/>
                <w:noProof/>
                <w:rtl/>
              </w:rPr>
              <w:t>11.</w:t>
            </w:r>
            <w:r w:rsidRPr="00426365">
              <w:rPr>
                <w:rStyle w:val="Hyperlink"/>
                <w:rFonts w:ascii="David" w:hAnsi="David"/>
                <w:noProof/>
              </w:rPr>
              <w:t xml:space="preserve"> </w:t>
            </w:r>
            <w:r w:rsidRPr="00426365">
              <w:rPr>
                <w:rStyle w:val="Hyperlink"/>
                <w:rFonts w:ascii="David" w:hAnsi="David"/>
                <w:noProof/>
                <w:rtl/>
              </w:rPr>
              <w:t>פרטי דיווח – סעיף 12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Toc85982161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2" w:history="1">
            <w:r w:rsidRPr="00426365">
              <w:rPr>
                <w:rStyle w:val="Hyperlink"/>
                <w:rFonts w:ascii="David" w:hAnsi="David"/>
                <w:noProof/>
                <w:rtl/>
              </w:rPr>
              <w:t>12. איסור גילוי ועיון – סעיף 13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Toc85982162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3" w:history="1">
            <w:r w:rsidRPr="00426365">
              <w:rPr>
                <w:rStyle w:val="Hyperlink"/>
                <w:rFonts w:ascii="David" w:hAnsi="David"/>
                <w:noProof/>
                <w:rtl/>
              </w:rPr>
              <w:t>13. בדיקה מול הרשימות – סעיף 14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Toc85982163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4" w:history="1">
            <w:r w:rsidRPr="00426365">
              <w:rPr>
                <w:rStyle w:val="Hyperlink"/>
                <w:rFonts w:ascii="David" w:hAnsi="David"/>
                <w:noProof/>
                <w:rtl/>
              </w:rPr>
              <w:t>14. קביעת מדיניות – סעיף 15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Toc85982164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5" w:history="1">
            <w:r w:rsidRPr="00426365">
              <w:rPr>
                <w:rStyle w:val="Hyperlink"/>
                <w:rFonts w:ascii="David" w:hAnsi="David"/>
                <w:noProof/>
                <w:rtl/>
              </w:rPr>
              <w:t>15. ניהול רישומים ושמירתם – סעיף 16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Toc85982165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6" w:history="1">
            <w:r w:rsidRPr="00426365">
              <w:rPr>
                <w:rStyle w:val="Hyperlink"/>
                <w:rFonts w:ascii="David" w:hAnsi="David"/>
                <w:noProof/>
                <w:rtl/>
              </w:rPr>
              <w:t>16. מסירת מסמכים, ידיעות והסברים – סעיף 17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Toc85982166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442814" w:rsidRDefault="00442814">
          <w:pPr>
            <w:pStyle w:val="TOC2"/>
            <w:tabs>
              <w:tab w:val="right" w:leader="dot" w:pos="8296"/>
            </w:tabs>
            <w:rPr>
              <w:rFonts w:asciiTheme="minorHAnsi" w:eastAsiaTheme="minorEastAsia" w:hAnsiTheme="minorHAnsi" w:cstheme="minorBidi"/>
              <w:noProof/>
              <w:sz w:val="22"/>
              <w:szCs w:val="22"/>
              <w:rtl/>
            </w:rPr>
          </w:pPr>
          <w:hyperlink w:anchor="_Toc85982167" w:history="1">
            <w:r w:rsidRPr="00426365">
              <w:rPr>
                <w:rStyle w:val="Hyperlink"/>
                <w:rFonts w:ascii="David" w:hAnsi="David"/>
                <w:noProof/>
                <w:rtl/>
              </w:rPr>
              <w:t>17. הוראות תחילה – סעיף 19 לצו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Toc85982167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F05545" w:rsidRDefault="002032B1">
          <w:r>
            <w:rPr>
              <w:b/>
              <w:bCs/>
              <w:lang w:val="he-IL"/>
            </w:rPr>
            <w:fldChar w:fldCharType="end"/>
          </w:r>
        </w:p>
      </w:sdtContent>
    </w:sdt>
    <w:p w:rsidR="009F042A" w:rsidRDefault="009F042A" w:rsidP="009F042A">
      <w:pPr>
        <w:spacing w:line="360" w:lineRule="auto"/>
        <w:jc w:val="both"/>
        <w:rPr>
          <w:rFonts w:ascii="David" w:hAnsi="David"/>
          <w:b/>
          <w:bCs/>
          <w:sz w:val="32"/>
          <w:szCs w:val="32"/>
          <w:rtl/>
        </w:rPr>
      </w:pPr>
    </w:p>
    <w:p w:rsidR="00806865" w:rsidRDefault="00806865" w:rsidP="009F042A">
      <w:pPr>
        <w:spacing w:line="360" w:lineRule="auto"/>
        <w:jc w:val="both"/>
        <w:rPr>
          <w:rFonts w:ascii="David" w:hAnsi="David"/>
          <w:b/>
          <w:bCs/>
          <w:sz w:val="32"/>
          <w:szCs w:val="32"/>
          <w:rtl/>
        </w:rPr>
      </w:pPr>
    </w:p>
    <w:p w:rsidR="00806865" w:rsidRDefault="00806865" w:rsidP="009F042A">
      <w:pPr>
        <w:spacing w:line="360" w:lineRule="auto"/>
        <w:jc w:val="both"/>
        <w:rPr>
          <w:rFonts w:ascii="David" w:hAnsi="David"/>
          <w:b/>
          <w:bCs/>
          <w:sz w:val="32"/>
          <w:szCs w:val="32"/>
          <w:rtl/>
        </w:rPr>
      </w:pPr>
    </w:p>
    <w:p w:rsidR="00806865" w:rsidRDefault="00806865" w:rsidP="009F042A">
      <w:pPr>
        <w:spacing w:line="360" w:lineRule="auto"/>
        <w:jc w:val="both"/>
        <w:rPr>
          <w:rFonts w:ascii="David" w:hAnsi="David"/>
          <w:b/>
          <w:bCs/>
          <w:sz w:val="32"/>
          <w:szCs w:val="32"/>
          <w:rtl/>
        </w:rPr>
      </w:pPr>
    </w:p>
    <w:p w:rsidR="00443AB4" w:rsidRDefault="00443AB4" w:rsidP="009F042A">
      <w:pPr>
        <w:spacing w:line="360" w:lineRule="auto"/>
        <w:jc w:val="both"/>
        <w:rPr>
          <w:rFonts w:ascii="David" w:hAnsi="David"/>
          <w:b/>
          <w:bCs/>
          <w:sz w:val="32"/>
          <w:szCs w:val="32"/>
          <w:rtl/>
        </w:rPr>
      </w:pPr>
    </w:p>
    <w:p w:rsidR="00443AB4" w:rsidRDefault="00443AB4" w:rsidP="009F042A">
      <w:pPr>
        <w:spacing w:line="360" w:lineRule="auto"/>
        <w:jc w:val="both"/>
        <w:rPr>
          <w:rFonts w:ascii="David" w:hAnsi="David"/>
          <w:b/>
          <w:bCs/>
          <w:sz w:val="32"/>
          <w:szCs w:val="32"/>
          <w:rtl/>
        </w:rPr>
      </w:pPr>
    </w:p>
    <w:p w:rsidR="00287323" w:rsidRPr="003773A7" w:rsidRDefault="00287323" w:rsidP="003773A7">
      <w:pPr>
        <w:rPr>
          <w:rtl/>
        </w:rPr>
      </w:pPr>
    </w:p>
    <w:tbl>
      <w:tblPr>
        <w:tblStyle w:val="ad"/>
        <w:tblpPr w:leftFromText="180" w:rightFromText="180" w:vertAnchor="text" w:horzAnchor="page" w:tblpX="7245" w:tblpY="1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4671"/>
      </w:tblGrid>
      <w:tr w:rsidR="00424B4C" w:rsidTr="004C1523">
        <w:tc>
          <w:tcPr>
            <w:tcW w:w="4671" w:type="dxa"/>
            <w:shd w:val="clear" w:color="auto" w:fill="002060"/>
          </w:tcPr>
          <w:p w:rsidR="004C1523" w:rsidRPr="00845397" w:rsidRDefault="002032B1" w:rsidP="004C1523">
            <w:pPr>
              <w:pStyle w:val="1"/>
              <w:spacing w:after="240"/>
              <w:ind w:left="720"/>
              <w:outlineLvl w:val="0"/>
              <w:rPr>
                <w:rFonts w:ascii="David" w:hAnsi="David" w:cs="David"/>
                <w:b/>
                <w:bCs/>
                <w:color w:val="FFFFFF" w:themeColor="background1"/>
                <w:rtl/>
              </w:rPr>
            </w:pPr>
            <w:bookmarkStart w:id="1" w:name="_Toc85982149"/>
            <w:r w:rsidRPr="00845397">
              <w:rPr>
                <w:rFonts w:ascii="David" w:hAnsi="David" w:cs="David"/>
                <w:b/>
                <w:bCs/>
                <w:color w:val="FFFFFF" w:themeColor="background1"/>
                <w:rtl/>
              </w:rPr>
              <w:lastRenderedPageBreak/>
              <w:t>על מי חל הצו?</w:t>
            </w:r>
            <w:bookmarkEnd w:id="1"/>
          </w:p>
        </w:tc>
      </w:tr>
    </w:tbl>
    <w:p w:rsidR="001057C8" w:rsidRDefault="001057C8" w:rsidP="001057C8">
      <w:pPr>
        <w:pStyle w:val="1"/>
        <w:rPr>
          <w:rtl/>
        </w:rPr>
      </w:pPr>
    </w:p>
    <w:p w:rsidR="002561F8" w:rsidRDefault="002561F8" w:rsidP="00850881">
      <w:pPr>
        <w:spacing w:before="240" w:line="360" w:lineRule="auto"/>
        <w:jc w:val="both"/>
        <w:rPr>
          <w:sz w:val="8"/>
          <w:szCs w:val="8"/>
          <w:rtl/>
        </w:rPr>
      </w:pPr>
    </w:p>
    <w:p w:rsidR="008412D3" w:rsidRDefault="008412D3" w:rsidP="00B7126D">
      <w:pPr>
        <w:spacing w:before="240" w:line="360" w:lineRule="auto"/>
        <w:jc w:val="both"/>
        <w:rPr>
          <w:rtl/>
        </w:rPr>
      </w:pPr>
    </w:p>
    <w:p w:rsidR="00B7126D" w:rsidRDefault="00B7126D" w:rsidP="00B7126D">
      <w:pPr>
        <w:spacing w:before="240" w:line="360" w:lineRule="auto"/>
        <w:jc w:val="both"/>
        <w:rPr>
          <w:rtl/>
        </w:rPr>
      </w:pPr>
      <w:r w:rsidRPr="00500052">
        <w:rPr>
          <w:rFonts w:hint="cs"/>
          <w:rtl/>
        </w:rPr>
        <w:t xml:space="preserve">הצו חל </w:t>
      </w:r>
      <w:r w:rsidRPr="003935EC">
        <w:rPr>
          <w:rFonts w:hint="cs"/>
          <w:rtl/>
        </w:rPr>
        <w:t xml:space="preserve">על </w:t>
      </w:r>
      <w:r w:rsidRPr="003935EC">
        <w:rPr>
          <w:rtl/>
        </w:rPr>
        <w:t xml:space="preserve">נותן שירותי אשראי ונותן שירות בנכס פיננסי </w:t>
      </w:r>
      <w:r>
        <w:rPr>
          <w:rFonts w:hint="cs"/>
          <w:rtl/>
        </w:rPr>
        <w:t xml:space="preserve">(להלן: "נותן שירות") </w:t>
      </w:r>
      <w:r w:rsidRPr="003935EC">
        <w:rPr>
          <w:rFonts w:hint="cs"/>
          <w:rtl/>
        </w:rPr>
        <w:t>ה</w:t>
      </w:r>
      <w:r w:rsidRPr="003935EC">
        <w:rPr>
          <w:rtl/>
        </w:rPr>
        <w:t>חייבים ברישיון לפי חוק הפיקוח על שירותים פיננסיים</w:t>
      </w:r>
      <w:r>
        <w:rPr>
          <w:rFonts w:hint="cs"/>
          <w:rtl/>
        </w:rPr>
        <w:t xml:space="preserve"> (שירותים פיננסיים מוסדרים), תשע"ו-2016 (להלן "חוק הפיקוח על שירותים פיננסיים")</w:t>
      </w:r>
      <w:r w:rsidRPr="003935EC">
        <w:rPr>
          <w:rFonts w:hint="cs"/>
          <w:rtl/>
        </w:rPr>
        <w:t xml:space="preserve">. </w:t>
      </w:r>
    </w:p>
    <w:p w:rsidR="00B7126D" w:rsidRDefault="00B7126D" w:rsidP="00B7126D">
      <w:pPr>
        <w:spacing w:line="360" w:lineRule="auto"/>
        <w:jc w:val="both"/>
        <w:rPr>
          <w:rtl/>
        </w:rPr>
      </w:pPr>
      <w:r w:rsidRPr="0060735D">
        <w:rPr>
          <w:rFonts w:hint="cs"/>
          <w:b/>
          <w:bCs/>
          <w:rtl/>
        </w:rPr>
        <w:t>נותן שירות בנכס פיננסי</w:t>
      </w:r>
      <w:r>
        <w:rPr>
          <w:rFonts w:hint="cs"/>
          <w:rtl/>
        </w:rPr>
        <w:t>, לפי סעיף 11א לחוק הפיקוח על שירותים פיננסיים,</w:t>
      </w:r>
      <w:r w:rsidRPr="003935EC">
        <w:rPr>
          <w:rFonts w:hint="cs"/>
          <w:rtl/>
        </w:rPr>
        <w:t xml:space="preserve"> הוא מי שמבצע </w:t>
      </w:r>
      <w:r>
        <w:rPr>
          <w:rFonts w:hint="cs"/>
          <w:rtl/>
        </w:rPr>
        <w:t xml:space="preserve">דרך עיסוק, פעולות </w:t>
      </w:r>
      <w:r w:rsidRPr="003935EC">
        <w:rPr>
          <w:rtl/>
        </w:rPr>
        <w:t>החלפה</w:t>
      </w:r>
      <w:r>
        <w:rPr>
          <w:rFonts w:hint="cs"/>
          <w:rtl/>
        </w:rPr>
        <w:t xml:space="preserve"> של נכס פיננסי בנכס פיננסי אחר</w:t>
      </w:r>
      <w:r w:rsidRPr="00A41E45">
        <w:rPr>
          <w:rtl/>
        </w:rPr>
        <w:t>,</w:t>
      </w:r>
      <w:r>
        <w:rPr>
          <w:rFonts w:hint="cs"/>
          <w:rtl/>
        </w:rPr>
        <w:t xml:space="preserve"> לרבות</w:t>
      </w:r>
      <w:r w:rsidRPr="00A41E45">
        <w:rPr>
          <w:rtl/>
        </w:rPr>
        <w:t xml:space="preserve"> פדיון, פריטה, המרה, מכירה</w:t>
      </w:r>
      <w:r>
        <w:rPr>
          <w:rFonts w:hint="cs"/>
          <w:rtl/>
        </w:rPr>
        <w:t xml:space="preserve"> או </w:t>
      </w:r>
      <w:r w:rsidRPr="00A41E45">
        <w:rPr>
          <w:rtl/>
        </w:rPr>
        <w:t>העברה</w:t>
      </w:r>
      <w:r>
        <w:rPr>
          <w:rFonts w:hint="cs"/>
          <w:rtl/>
        </w:rPr>
        <w:t xml:space="preserve"> של נכס פיננסי; וכן </w:t>
      </w:r>
      <w:r w:rsidRPr="00A41E45">
        <w:rPr>
          <w:rtl/>
        </w:rPr>
        <w:t>ניהול</w:t>
      </w:r>
      <w:r>
        <w:rPr>
          <w:rFonts w:hint="cs"/>
          <w:rtl/>
        </w:rPr>
        <w:t xml:space="preserve"> או</w:t>
      </w:r>
      <w:r w:rsidRPr="00A41E45">
        <w:rPr>
          <w:rtl/>
        </w:rPr>
        <w:t xml:space="preserve"> שמירה</w:t>
      </w:r>
      <w:r>
        <w:rPr>
          <w:rFonts w:hint="cs"/>
          <w:rtl/>
        </w:rPr>
        <w:t xml:space="preserve"> של נכס פיננסי,</w:t>
      </w:r>
      <w:r w:rsidRPr="00A41E45">
        <w:rPr>
          <w:rtl/>
        </w:rPr>
        <w:t xml:space="preserve"> לרבות </w:t>
      </w:r>
      <w:r>
        <w:rPr>
          <w:rFonts w:hint="cs"/>
          <w:rtl/>
        </w:rPr>
        <w:t xml:space="preserve">באמצעות </w:t>
      </w:r>
      <w:r w:rsidRPr="00A41E45">
        <w:rPr>
          <w:rtl/>
        </w:rPr>
        <w:t>כספת</w:t>
      </w:r>
      <w:r>
        <w:rPr>
          <w:rFonts w:hint="cs"/>
          <w:rtl/>
        </w:rPr>
        <w:t xml:space="preserve">. נכס פיננסי כולל </w:t>
      </w:r>
      <w:r w:rsidRPr="001736C2">
        <w:rPr>
          <w:rtl/>
        </w:rPr>
        <w:t>מזומן, שיק,</w:t>
      </w:r>
      <w:r>
        <w:rPr>
          <w:rFonts w:hint="cs"/>
          <w:rtl/>
        </w:rPr>
        <w:t xml:space="preserve"> שטר חוב או שטר חליפין,</w:t>
      </w:r>
      <w:r>
        <w:rPr>
          <w:rtl/>
        </w:rPr>
        <w:t xml:space="preserve"> המחאה בנקאית</w:t>
      </w:r>
      <w:r>
        <w:rPr>
          <w:rFonts w:hint="cs"/>
          <w:rtl/>
        </w:rPr>
        <w:t xml:space="preserve"> או</w:t>
      </w:r>
      <w:r w:rsidRPr="001736C2">
        <w:rPr>
          <w:rtl/>
        </w:rPr>
        <w:t xml:space="preserve"> המחאת נוסעים, פיקדון כספי, נייר ערך</w:t>
      </w:r>
      <w:r>
        <w:rPr>
          <w:rFonts w:hint="cs"/>
          <w:rtl/>
        </w:rPr>
        <w:t xml:space="preserve"> למוכ"ז</w:t>
      </w:r>
      <w:r w:rsidRPr="001736C2">
        <w:rPr>
          <w:rtl/>
        </w:rPr>
        <w:t xml:space="preserve">, מטבע וירטואלי ולוחית או חפץ </w:t>
      </w:r>
      <w:r>
        <w:rPr>
          <w:rFonts w:hint="cs"/>
          <w:rtl/>
        </w:rPr>
        <w:t xml:space="preserve">אחר </w:t>
      </w:r>
      <w:r w:rsidRPr="001736C2">
        <w:rPr>
          <w:rtl/>
        </w:rPr>
        <w:t>המיועדים לרכישת שירותים או נכסים, שניתן לצבור בהם ערך כספי</w:t>
      </w:r>
      <w:r>
        <w:rPr>
          <w:rFonts w:hint="cs"/>
          <w:rtl/>
        </w:rPr>
        <w:t>. הגדרות אלו קבועות בחוק הפיקוח על שירותים פיננסיים. יש לציין כי על אף האמור, הצו לא חל על מי שעוסק במתן שירותי כספומט שאינו משמש להמרה או למשיכה של מטבע וירטואלי.</w:t>
      </w:r>
    </w:p>
    <w:p w:rsidR="00B7126D" w:rsidRDefault="00B7126D" w:rsidP="00B7126D">
      <w:pPr>
        <w:spacing w:line="360" w:lineRule="auto"/>
        <w:jc w:val="both"/>
        <w:rPr>
          <w:rtl/>
        </w:rPr>
      </w:pPr>
      <w:r>
        <w:rPr>
          <w:rFonts w:hint="cs"/>
          <w:rtl/>
        </w:rPr>
        <w:t xml:space="preserve">לאור ההגדרה של נכס פיננסי, הכולל מטבע וירטואלי, הצו למעשה חל גם על נותן שירות שעיסוקו במתן שירות במטבעות וירטואליים. הצו קובע כי מטבעות וירטואליים הם </w:t>
      </w:r>
      <w:r w:rsidRPr="00D143D7">
        <w:rPr>
          <w:rtl/>
        </w:rPr>
        <w:t xml:space="preserve">יחידת ערך דיגיטלית שניתן לסחור בה או להעבירה </w:t>
      </w:r>
      <w:r w:rsidRPr="00D143D7">
        <w:rPr>
          <w:rFonts w:hint="cs"/>
          <w:rtl/>
        </w:rPr>
        <w:t>ב</w:t>
      </w:r>
      <w:r w:rsidRPr="00D143D7">
        <w:rPr>
          <w:rtl/>
        </w:rPr>
        <w:t>אופן דיגיטלי</w:t>
      </w:r>
      <w:r w:rsidRPr="00D143D7">
        <w:rPr>
          <w:rFonts w:hint="cs"/>
          <w:rtl/>
        </w:rPr>
        <w:t xml:space="preserve"> </w:t>
      </w:r>
      <w:r w:rsidRPr="00D143D7">
        <w:rPr>
          <w:rtl/>
        </w:rPr>
        <w:t>ולהשתמ</w:t>
      </w:r>
      <w:r>
        <w:rPr>
          <w:rtl/>
        </w:rPr>
        <w:t>ש בה לצורכי תשלום או השקעה</w:t>
      </w:r>
      <w:r>
        <w:rPr>
          <w:rFonts w:hint="cs"/>
          <w:rtl/>
        </w:rPr>
        <w:t>.</w:t>
      </w:r>
    </w:p>
    <w:p w:rsidR="0096540B" w:rsidRDefault="00B7126D" w:rsidP="008412D3">
      <w:pPr>
        <w:spacing w:before="240" w:line="360" w:lineRule="auto"/>
        <w:jc w:val="both"/>
        <w:rPr>
          <w:sz w:val="8"/>
          <w:szCs w:val="8"/>
          <w:rtl/>
        </w:rPr>
      </w:pPr>
      <w:r w:rsidRPr="0060735D">
        <w:rPr>
          <w:rFonts w:hint="cs"/>
          <w:b/>
          <w:bCs/>
          <w:rtl/>
        </w:rPr>
        <w:t>נותן שירותי אשראי</w:t>
      </w:r>
      <w:r>
        <w:rPr>
          <w:rFonts w:hint="cs"/>
          <w:b/>
          <w:bCs/>
          <w:rtl/>
        </w:rPr>
        <w:t xml:space="preserve">, </w:t>
      </w:r>
      <w:r w:rsidRPr="00D3259D">
        <w:rPr>
          <w:rFonts w:hint="cs"/>
          <w:rtl/>
        </w:rPr>
        <w:t>לפי סעיף 11א לחוק הפיקוח על שירותים פיננסיים,</w:t>
      </w:r>
      <w:r>
        <w:rPr>
          <w:rFonts w:hint="cs"/>
          <w:rtl/>
        </w:rPr>
        <w:t xml:space="preserve"> הוא מי שעוסק במתן</w:t>
      </w:r>
      <w:r w:rsidRPr="003935EC">
        <w:rPr>
          <w:rFonts w:hint="cs"/>
          <w:rtl/>
        </w:rPr>
        <w:t xml:space="preserve"> </w:t>
      </w:r>
      <w:r>
        <w:rPr>
          <w:rFonts w:hint="cs"/>
          <w:rtl/>
        </w:rPr>
        <w:t>אשראי דרך עיסוק, למעט הנפקה של כרטיסי אשראי, ולרבות העמדת מסגרת אשראי, וכולל ניכיון שיקים, שטרי חוב ושטרי חליפין, מתן אשראי כנגד המחאת זכותו של מקבל האשראי לקבל נכסים פיננסיים מאחר (פקטורינג), מתן אשראי אגב מימון רכישה או השכרה של נכס או שירות (ליסינג), למעט המקרים המפורטים בחוק, מתן ערבות להתחייבות של אחר, ומתן אשראי שכנגדו משועבד נכס בלא זכות חזרה אל מקבל האשראי בשל אי קיום החיוב.</w:t>
      </w:r>
    </w:p>
    <w:p w:rsidR="008412D3" w:rsidRDefault="008412D3" w:rsidP="008412D3">
      <w:pPr>
        <w:spacing w:before="240" w:line="360" w:lineRule="auto"/>
        <w:jc w:val="both"/>
        <w:rPr>
          <w:sz w:val="8"/>
          <w:szCs w:val="8"/>
          <w:rtl/>
        </w:rPr>
      </w:pPr>
    </w:p>
    <w:p w:rsidR="008412D3" w:rsidRPr="008412D3" w:rsidRDefault="008412D3" w:rsidP="008412D3">
      <w:pPr>
        <w:spacing w:before="240" w:line="360" w:lineRule="auto"/>
        <w:jc w:val="both"/>
        <w:rPr>
          <w:sz w:val="8"/>
          <w:szCs w:val="8"/>
          <w:rtl/>
        </w:rPr>
      </w:pPr>
    </w:p>
    <w:p w:rsidR="002561F8" w:rsidRDefault="002561F8" w:rsidP="00845397">
      <w:pPr>
        <w:spacing w:line="360" w:lineRule="auto"/>
        <w:jc w:val="both"/>
        <w:rPr>
          <w:rtl/>
        </w:rPr>
      </w:pPr>
    </w:p>
    <w:p w:rsidR="002561F8" w:rsidRDefault="002561F8" w:rsidP="00845397">
      <w:pPr>
        <w:spacing w:line="360" w:lineRule="auto"/>
        <w:jc w:val="both"/>
        <w:rPr>
          <w:rtl/>
        </w:rPr>
      </w:pPr>
    </w:p>
    <w:p w:rsidR="00F005FC" w:rsidRDefault="00F005FC" w:rsidP="00845397">
      <w:pPr>
        <w:spacing w:line="360" w:lineRule="auto"/>
        <w:jc w:val="both"/>
        <w:rPr>
          <w:rtl/>
        </w:rPr>
      </w:pPr>
    </w:p>
    <w:p w:rsidR="002561F8" w:rsidRDefault="002561F8" w:rsidP="00845397">
      <w:pPr>
        <w:spacing w:line="360" w:lineRule="auto"/>
        <w:jc w:val="both"/>
        <w:rPr>
          <w:rtl/>
        </w:rPr>
      </w:pPr>
    </w:p>
    <w:p w:rsidR="002561F8" w:rsidRDefault="002561F8" w:rsidP="00845397">
      <w:pPr>
        <w:pStyle w:val="2"/>
        <w:spacing w:line="360" w:lineRule="auto"/>
        <w:rPr>
          <w:rtl/>
        </w:rPr>
      </w:pPr>
    </w:p>
    <w:tbl>
      <w:tblPr>
        <w:tblStyle w:val="ad"/>
        <w:tblpPr w:leftFromText="180" w:rightFromText="180" w:vertAnchor="text" w:horzAnchor="page" w:tblpX="7361" w:tblpY="17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424B4C" w:rsidTr="002561F8">
        <w:tc>
          <w:tcPr>
            <w:tcW w:w="4535" w:type="dxa"/>
            <w:shd w:val="clear" w:color="auto" w:fill="002060"/>
          </w:tcPr>
          <w:p w:rsidR="002561F8" w:rsidRPr="003E32A8" w:rsidRDefault="002032B1" w:rsidP="003E32A8">
            <w:pPr>
              <w:pStyle w:val="1"/>
              <w:spacing w:after="240"/>
              <w:ind w:left="720"/>
              <w:outlineLvl w:val="0"/>
              <w:rPr>
                <w:rFonts w:ascii="David" w:hAnsi="David" w:cs="David"/>
                <w:b/>
                <w:bCs/>
                <w:color w:val="FFFFFF" w:themeColor="background1"/>
                <w:rtl/>
              </w:rPr>
            </w:pPr>
            <w:bookmarkStart w:id="2" w:name="_Toc85982150"/>
            <w:r w:rsidRPr="00845397">
              <w:rPr>
                <w:rFonts w:ascii="David" w:hAnsi="David" w:cs="David" w:hint="cs"/>
                <w:b/>
                <w:bCs/>
                <w:color w:val="FFFFFF" w:themeColor="background1"/>
                <w:rtl/>
              </w:rPr>
              <w:t>החובות הקבועות בצו</w:t>
            </w:r>
            <w:bookmarkEnd w:id="2"/>
          </w:p>
        </w:tc>
      </w:tr>
    </w:tbl>
    <w:p w:rsidR="002561F8" w:rsidRDefault="002561F8" w:rsidP="00845397">
      <w:pPr>
        <w:spacing w:line="360" w:lineRule="auto"/>
        <w:rPr>
          <w:rtl/>
        </w:rPr>
      </w:pPr>
    </w:p>
    <w:p w:rsidR="00C14CA1" w:rsidRDefault="00C14CA1" w:rsidP="003E32A8">
      <w:pPr>
        <w:spacing w:before="240" w:line="360" w:lineRule="auto"/>
        <w:jc w:val="both"/>
        <w:rPr>
          <w:rtl/>
        </w:rPr>
      </w:pPr>
    </w:p>
    <w:tbl>
      <w:tblPr>
        <w:tblStyle w:val="ad"/>
        <w:tblpPr w:leftFromText="180" w:rightFromText="180" w:vertAnchor="text" w:horzAnchor="margin" w:tblpY="28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EF5393">
        <w:trPr>
          <w:trHeight w:val="421"/>
        </w:trPr>
        <w:tc>
          <w:tcPr>
            <w:tcW w:w="8296" w:type="dxa"/>
            <w:shd w:val="clear" w:color="auto" w:fill="0070C0"/>
          </w:tcPr>
          <w:p w:rsidR="002561F8" w:rsidRPr="00976621" w:rsidRDefault="002032B1" w:rsidP="00EF5393">
            <w:pPr>
              <w:pStyle w:val="2"/>
              <w:spacing w:line="360" w:lineRule="auto"/>
              <w:outlineLvl w:val="1"/>
              <w:rPr>
                <w:rFonts w:ascii="David" w:hAnsi="David" w:cs="David"/>
                <w:rtl/>
              </w:rPr>
            </w:pPr>
            <w:bookmarkStart w:id="3" w:name="_Toc85982151"/>
            <w:r w:rsidRPr="00976621">
              <w:rPr>
                <w:rFonts w:ascii="David" w:hAnsi="David" w:cs="David"/>
                <w:rtl/>
              </w:rPr>
              <w:t>1. הליך הכרת הלקוח - סעיף 2 לצו</w:t>
            </w:r>
            <w:bookmarkEnd w:id="3"/>
          </w:p>
        </w:tc>
      </w:tr>
    </w:tbl>
    <w:p w:rsidR="0034049F" w:rsidRPr="0034049F" w:rsidRDefault="002032B1" w:rsidP="00976621">
      <w:pPr>
        <w:spacing w:before="240" w:line="360" w:lineRule="auto"/>
        <w:jc w:val="both"/>
        <w:rPr>
          <w:rtl/>
        </w:rPr>
      </w:pPr>
      <w:r w:rsidRPr="0034049F">
        <w:rPr>
          <w:rFonts w:hint="cs"/>
          <w:rtl/>
        </w:rPr>
        <w:t xml:space="preserve">נותן שירות נדרש לבצע </w:t>
      </w:r>
      <w:r w:rsidRPr="00D15012">
        <w:rPr>
          <w:rFonts w:hint="cs"/>
          <w:b/>
          <w:bCs/>
          <w:rtl/>
        </w:rPr>
        <w:t>הליך הכרת הלקוח</w:t>
      </w:r>
      <w:r w:rsidRPr="0034049F">
        <w:rPr>
          <w:rFonts w:hint="cs"/>
          <w:rtl/>
        </w:rPr>
        <w:t xml:space="preserve"> בפעם הראשונה לפני מתן שירות </w:t>
      </w:r>
      <w:r w:rsidRPr="00D15012">
        <w:rPr>
          <w:rFonts w:hint="cs"/>
          <w:b/>
          <w:bCs/>
          <w:rtl/>
        </w:rPr>
        <w:t xml:space="preserve">למקבל שירות </w:t>
      </w:r>
      <w:r w:rsidR="00147C52" w:rsidRPr="00147C52">
        <w:rPr>
          <w:rFonts w:hint="cs"/>
          <w:rtl/>
        </w:rPr>
        <w:t>(</w:t>
      </w:r>
      <w:r w:rsidR="00CC0DF8">
        <w:rPr>
          <w:rFonts w:hint="cs"/>
          <w:rtl/>
        </w:rPr>
        <w:t xml:space="preserve">להלן - </w:t>
      </w:r>
      <w:r w:rsidR="007211B4" w:rsidRPr="00147C52">
        <w:rPr>
          <w:rFonts w:hint="cs"/>
          <w:rtl/>
        </w:rPr>
        <w:t>"</w:t>
      </w:r>
      <w:r w:rsidR="00CC0DF8">
        <w:rPr>
          <w:rFonts w:hint="cs"/>
          <w:rtl/>
        </w:rPr>
        <w:t xml:space="preserve">מקבל שירות </w:t>
      </w:r>
      <w:r w:rsidR="00390727" w:rsidRPr="00147C52">
        <w:rPr>
          <w:rFonts w:hint="cs"/>
          <w:rtl/>
        </w:rPr>
        <w:t>קבוע</w:t>
      </w:r>
      <w:r w:rsidR="007211B4" w:rsidRPr="00147C52">
        <w:rPr>
          <w:rFonts w:hint="cs"/>
          <w:rtl/>
        </w:rPr>
        <w:t>"</w:t>
      </w:r>
      <w:r w:rsidR="00CC0DF8">
        <w:rPr>
          <w:rFonts w:hint="cs"/>
          <w:rtl/>
        </w:rPr>
        <w:t>, קרי,</w:t>
      </w:r>
      <w:r w:rsidR="00147C52">
        <w:rPr>
          <w:rFonts w:hint="cs"/>
          <w:rtl/>
        </w:rPr>
        <w:t xml:space="preserve"> </w:t>
      </w:r>
      <w:r w:rsidR="00390727" w:rsidRPr="00390727">
        <w:rPr>
          <w:rFonts w:hint="cs"/>
          <w:rtl/>
        </w:rPr>
        <w:t xml:space="preserve">מי </w:t>
      </w:r>
      <w:r w:rsidRPr="00390727">
        <w:rPr>
          <w:rFonts w:hint="cs"/>
          <w:rtl/>
        </w:rPr>
        <w:t>שאינו מקבל שירות מזדמן</w:t>
      </w:r>
      <w:r w:rsidR="00390727" w:rsidRPr="00390727">
        <w:rPr>
          <w:rFonts w:hint="cs"/>
          <w:rtl/>
        </w:rPr>
        <w:t>)</w:t>
      </w:r>
      <w:r w:rsidRPr="0034049F">
        <w:rPr>
          <w:rFonts w:hint="cs"/>
          <w:rtl/>
        </w:rPr>
        <w:t xml:space="preserve">. </w:t>
      </w:r>
      <w:r w:rsidR="00D15012">
        <w:rPr>
          <w:rFonts w:hint="cs"/>
          <w:rtl/>
        </w:rPr>
        <w:t xml:space="preserve">נותן השירות נדרש לבצע את הליך </w:t>
      </w:r>
      <w:r w:rsidR="00D15012" w:rsidRPr="00D250C7">
        <w:rPr>
          <w:rtl/>
        </w:rPr>
        <w:t>הכרת הלקוח בצורה מבוססת סיכון</w:t>
      </w:r>
      <w:r w:rsidR="00390727">
        <w:rPr>
          <w:rFonts w:hint="cs"/>
          <w:rtl/>
        </w:rPr>
        <w:t>, בהתאם</w:t>
      </w:r>
      <w:r w:rsidR="00D15012">
        <w:rPr>
          <w:rFonts w:hint="cs"/>
          <w:rtl/>
        </w:rPr>
        <w:t xml:space="preserve"> </w:t>
      </w:r>
      <w:r w:rsidR="00390727">
        <w:rPr>
          <w:rFonts w:hint="cs"/>
          <w:rtl/>
        </w:rPr>
        <w:t>ל</w:t>
      </w:r>
      <w:r w:rsidR="00D15012">
        <w:rPr>
          <w:rFonts w:hint="cs"/>
          <w:rtl/>
        </w:rPr>
        <w:t xml:space="preserve">סיכון </w:t>
      </w:r>
      <w:r w:rsidR="00390727">
        <w:rPr>
          <w:rFonts w:hint="cs"/>
          <w:rtl/>
        </w:rPr>
        <w:t>הלבנת הון ו</w:t>
      </w:r>
      <w:r w:rsidR="00D15012">
        <w:rPr>
          <w:rFonts w:hint="cs"/>
          <w:rtl/>
        </w:rPr>
        <w:t>מימון טרור</w:t>
      </w:r>
      <w:r w:rsidR="00390727">
        <w:rPr>
          <w:rFonts w:hint="cs"/>
          <w:rtl/>
        </w:rPr>
        <w:t xml:space="preserve"> של </w:t>
      </w:r>
      <w:r w:rsidR="00743A3B">
        <w:rPr>
          <w:rFonts w:hint="cs"/>
          <w:rtl/>
        </w:rPr>
        <w:t>מקבל השירות</w:t>
      </w:r>
      <w:r w:rsidR="00D15012">
        <w:rPr>
          <w:rFonts w:hint="cs"/>
          <w:rtl/>
        </w:rPr>
        <w:t>.</w:t>
      </w:r>
    </w:p>
    <w:p w:rsidR="0034049F" w:rsidRDefault="002032B1" w:rsidP="00845397">
      <w:pPr>
        <w:spacing w:line="360" w:lineRule="auto"/>
        <w:jc w:val="both"/>
        <w:rPr>
          <w:rtl/>
        </w:rPr>
      </w:pPr>
      <w:r w:rsidRPr="00D15012">
        <w:rPr>
          <w:rFonts w:hint="cs"/>
          <w:b/>
          <w:bCs/>
          <w:rtl/>
        </w:rPr>
        <w:t>במסגרת הליך הכרת הלקוח</w:t>
      </w:r>
      <w:r>
        <w:rPr>
          <w:rFonts w:hint="cs"/>
          <w:rtl/>
        </w:rPr>
        <w:t>, נדרש נותן השירות,</w:t>
      </w:r>
      <w:r w:rsidRPr="0034049F">
        <w:rPr>
          <w:rtl/>
        </w:rPr>
        <w:t xml:space="preserve"> בין השאר, </w:t>
      </w:r>
      <w:r>
        <w:rPr>
          <w:rFonts w:hint="cs"/>
          <w:rtl/>
        </w:rPr>
        <w:t>לברר מהו</w:t>
      </w:r>
      <w:r w:rsidRPr="0034049F">
        <w:rPr>
          <w:rtl/>
        </w:rPr>
        <w:t xml:space="preserve"> מקור הנכסים הפיננסיים שלגביהם ניתנים השירותים</w:t>
      </w:r>
      <w:r w:rsidR="00B017BD" w:rsidRPr="00B017BD">
        <w:rPr>
          <w:rFonts w:hint="cs"/>
          <w:rtl/>
        </w:rPr>
        <w:t xml:space="preserve"> </w:t>
      </w:r>
      <w:r w:rsidR="00B017BD">
        <w:rPr>
          <w:rFonts w:hint="cs"/>
          <w:rtl/>
        </w:rPr>
        <w:t>את</w:t>
      </w:r>
      <w:r w:rsidR="00B017BD" w:rsidRPr="0034049F">
        <w:rPr>
          <w:rtl/>
        </w:rPr>
        <w:t xml:space="preserve"> מקור החזר האשראי ו</w:t>
      </w:r>
      <w:r w:rsidR="00B017BD">
        <w:rPr>
          <w:rFonts w:hint="cs"/>
          <w:rtl/>
        </w:rPr>
        <w:t xml:space="preserve">את הזיקה </w:t>
      </w:r>
      <w:r w:rsidR="00B017BD" w:rsidRPr="0034049F">
        <w:rPr>
          <w:rtl/>
        </w:rPr>
        <w:t>של מקבל האשראי אל מי שהתחייב להחזיר את האשראי או מי שמבקש להחזיר את האשראי</w:t>
      </w:r>
      <w:r>
        <w:rPr>
          <w:rFonts w:hint="cs"/>
          <w:rtl/>
        </w:rPr>
        <w:t xml:space="preserve">. </w:t>
      </w:r>
      <w:r w:rsidR="002B2F37">
        <w:rPr>
          <w:rFonts w:hint="cs"/>
          <w:rtl/>
        </w:rPr>
        <w:t>על</w:t>
      </w:r>
      <w:r>
        <w:rPr>
          <w:rFonts w:hint="cs"/>
          <w:rtl/>
        </w:rPr>
        <w:t xml:space="preserve"> נותן השירות לברר מהו </w:t>
      </w:r>
      <w:r w:rsidRPr="0034049F">
        <w:rPr>
          <w:rtl/>
        </w:rPr>
        <w:t xml:space="preserve">עיסוקו של מקבל השירות, </w:t>
      </w:r>
      <w:r>
        <w:rPr>
          <w:rFonts w:hint="cs"/>
          <w:rtl/>
        </w:rPr>
        <w:t xml:space="preserve">את </w:t>
      </w:r>
      <w:r w:rsidRPr="0034049F">
        <w:rPr>
          <w:rtl/>
        </w:rPr>
        <w:t xml:space="preserve">מטרת האשראי שניתן או </w:t>
      </w:r>
      <w:r>
        <w:rPr>
          <w:rFonts w:hint="cs"/>
          <w:rtl/>
        </w:rPr>
        <w:t xml:space="preserve">מטרת </w:t>
      </w:r>
      <w:r w:rsidRPr="0034049F">
        <w:rPr>
          <w:rtl/>
        </w:rPr>
        <w:t>השירות בנכס פיננסי</w:t>
      </w:r>
      <w:r>
        <w:rPr>
          <w:rFonts w:hint="cs"/>
          <w:rtl/>
        </w:rPr>
        <w:t>. בנוסף על נותן השירות לברר ה</w:t>
      </w:r>
      <w:r w:rsidRPr="0034049F">
        <w:rPr>
          <w:rtl/>
        </w:rPr>
        <w:t xml:space="preserve">אם סורב </w:t>
      </w:r>
      <w:r>
        <w:rPr>
          <w:rFonts w:hint="cs"/>
          <w:rtl/>
        </w:rPr>
        <w:t xml:space="preserve">מקבל השירות </w:t>
      </w:r>
      <w:r w:rsidRPr="0034049F">
        <w:rPr>
          <w:rtl/>
        </w:rPr>
        <w:t>בעבר מקבלת אשראי או מקבלת שירות בנכס פיננסי, לפי העניין, מכל גורם שהוא מסיבות הקשור</w:t>
      </w:r>
      <w:r>
        <w:rPr>
          <w:rtl/>
        </w:rPr>
        <w:t>ות באיסור הלבנת הון ומימון טרור</w:t>
      </w:r>
      <w:r>
        <w:rPr>
          <w:rFonts w:hint="cs"/>
          <w:rtl/>
        </w:rPr>
        <w:t>.</w:t>
      </w:r>
      <w:r w:rsidR="002B2F37">
        <w:rPr>
          <w:rFonts w:hint="cs"/>
          <w:rtl/>
        </w:rPr>
        <w:t xml:space="preserve"> </w:t>
      </w:r>
    </w:p>
    <w:p w:rsidR="0034049F" w:rsidRDefault="002032B1" w:rsidP="00845397">
      <w:pPr>
        <w:spacing w:line="360" w:lineRule="auto"/>
        <w:jc w:val="both"/>
        <w:rPr>
          <w:rtl/>
        </w:rPr>
      </w:pPr>
      <w:r>
        <w:rPr>
          <w:rFonts w:hint="cs"/>
          <w:rtl/>
        </w:rPr>
        <w:t xml:space="preserve">כאשר מקבל השירות הוא </w:t>
      </w:r>
      <w:r>
        <w:rPr>
          <w:rtl/>
        </w:rPr>
        <w:t>תושב חוץ</w:t>
      </w:r>
      <w:r w:rsidR="00CC0DF8">
        <w:rPr>
          <w:rFonts w:hint="cs"/>
          <w:rtl/>
        </w:rPr>
        <w:t xml:space="preserve"> -</w:t>
      </w:r>
      <w:r>
        <w:rPr>
          <w:rFonts w:hint="cs"/>
          <w:rtl/>
        </w:rPr>
        <w:t xml:space="preserve"> נותן השירות נדרש</w:t>
      </w:r>
      <w:r w:rsidRPr="0034049F">
        <w:rPr>
          <w:rtl/>
        </w:rPr>
        <w:t xml:space="preserve"> גם </w:t>
      </w:r>
      <w:r>
        <w:rPr>
          <w:rFonts w:hint="cs"/>
          <w:rtl/>
        </w:rPr>
        <w:t>לברר את</w:t>
      </w:r>
      <w:r>
        <w:rPr>
          <w:rtl/>
        </w:rPr>
        <w:t xml:space="preserve"> </w:t>
      </w:r>
      <w:r>
        <w:rPr>
          <w:rFonts w:hint="cs"/>
          <w:rtl/>
        </w:rPr>
        <w:t>הזיקה של מקבל השירות</w:t>
      </w:r>
      <w:r w:rsidRPr="0034049F">
        <w:rPr>
          <w:rtl/>
        </w:rPr>
        <w:t xml:space="preserve"> לישראל וכן </w:t>
      </w:r>
      <w:r>
        <w:rPr>
          <w:rFonts w:hint="cs"/>
          <w:rtl/>
        </w:rPr>
        <w:t>עליו לברר ה</w:t>
      </w:r>
      <w:r w:rsidRPr="0034049F">
        <w:rPr>
          <w:rtl/>
        </w:rPr>
        <w:t xml:space="preserve">אם </w:t>
      </w:r>
      <w:r>
        <w:rPr>
          <w:rFonts w:hint="cs"/>
          <w:rtl/>
        </w:rPr>
        <w:t xml:space="preserve">מקבל השירות </w:t>
      </w:r>
      <w:r w:rsidRPr="0034049F">
        <w:rPr>
          <w:rtl/>
        </w:rPr>
        <w:t xml:space="preserve">הוא </w:t>
      </w:r>
      <w:r w:rsidRPr="00D15012">
        <w:rPr>
          <w:b/>
          <w:bCs/>
          <w:rtl/>
        </w:rPr>
        <w:t>איש ציבור זר</w:t>
      </w:r>
      <w:r>
        <w:rPr>
          <w:rFonts w:hint="cs"/>
          <w:rtl/>
        </w:rPr>
        <w:t xml:space="preserve">. איש ציבור זר הוא </w:t>
      </w:r>
      <w:r>
        <w:rPr>
          <w:rtl/>
        </w:rPr>
        <w:t>תושב חוץ בעל תפקיד ציבורי בכיר בחוץ לארץ בחמש השנים האחרונות</w:t>
      </w:r>
      <w:r>
        <w:rPr>
          <w:rFonts w:hint="cs"/>
          <w:rtl/>
        </w:rPr>
        <w:t>. הגדרה זו כוללת גם כל</w:t>
      </w:r>
      <w:r>
        <w:rPr>
          <w:rtl/>
        </w:rPr>
        <w:t xml:space="preserve"> בן משפחה של תושב חוץ כאמור או תאגיד שהוא בעל שליטה בו, יועץ ומינוי אישי</w:t>
      </w:r>
      <w:r>
        <w:rPr>
          <w:rFonts w:hint="cs"/>
          <w:rtl/>
        </w:rPr>
        <w:t xml:space="preserve"> </w:t>
      </w:r>
      <w:r>
        <w:rPr>
          <w:rtl/>
        </w:rPr>
        <w:t>של איש הציבור הזר או שותף עסקי של אחד מאלה</w:t>
      </w:r>
      <w:r>
        <w:rPr>
          <w:rFonts w:hint="cs"/>
          <w:rtl/>
        </w:rPr>
        <w:t>.</w:t>
      </w:r>
      <w:r w:rsidR="002B2F37">
        <w:rPr>
          <w:rFonts w:hint="cs"/>
          <w:rtl/>
        </w:rPr>
        <w:t xml:space="preserve"> תפקיד ציבורי בכיר כולל ראש מדינה, נשיא מדינה, ראש עיר, שופט, חבר פרלמנט, חבר מפלגה בכיר, חבר ממשלה, קצין צבא או משטרה בכיר, נושא משרה בכיר בחברה ממשלתית, בעל תפקיד בכיר בארגון בין לאומי, או כל ממלא תפקיד כאמור אף אם תוארו שונה.</w:t>
      </w:r>
      <w:r w:rsidR="00147C52">
        <w:rPr>
          <w:rFonts w:hint="cs"/>
          <w:rtl/>
        </w:rPr>
        <w:t xml:space="preserve"> </w:t>
      </w:r>
      <w:r>
        <w:rPr>
          <w:rFonts w:hint="cs"/>
          <w:rtl/>
        </w:rPr>
        <w:t xml:space="preserve">אם נותן השירות סיווג את </w:t>
      </w:r>
      <w:r w:rsidRPr="0034049F">
        <w:rPr>
          <w:rtl/>
        </w:rPr>
        <w:t xml:space="preserve">איש </w:t>
      </w:r>
      <w:r>
        <w:rPr>
          <w:rFonts w:hint="cs"/>
          <w:rtl/>
        </w:rPr>
        <w:t>ה</w:t>
      </w:r>
      <w:r w:rsidRPr="0034049F">
        <w:rPr>
          <w:rtl/>
        </w:rPr>
        <w:t xml:space="preserve">ציבור </w:t>
      </w:r>
      <w:r>
        <w:rPr>
          <w:rFonts w:hint="cs"/>
          <w:rtl/>
        </w:rPr>
        <w:t>ה</w:t>
      </w:r>
      <w:r w:rsidRPr="0034049F">
        <w:rPr>
          <w:rtl/>
        </w:rPr>
        <w:t>זר ברמת סיכון גבוהה</w:t>
      </w:r>
      <w:r>
        <w:rPr>
          <w:rFonts w:hint="cs"/>
          <w:rtl/>
        </w:rPr>
        <w:t>, הוא נדרש גם לברר את</w:t>
      </w:r>
      <w:r w:rsidRPr="0034049F">
        <w:rPr>
          <w:rtl/>
        </w:rPr>
        <w:t xml:space="preserve"> מקור משאביו הפיננסיים</w:t>
      </w:r>
      <w:r w:rsidR="00D15012">
        <w:rPr>
          <w:rFonts w:hint="cs"/>
          <w:rtl/>
        </w:rPr>
        <w:t xml:space="preserve"> של איש הציבור הזר</w:t>
      </w:r>
      <w:r w:rsidRPr="0034049F">
        <w:rPr>
          <w:rtl/>
        </w:rPr>
        <w:t xml:space="preserve">, ולגבי </w:t>
      </w:r>
      <w:r w:rsidR="00D15012">
        <w:rPr>
          <w:rFonts w:hint="cs"/>
          <w:rtl/>
        </w:rPr>
        <w:t>איש ציבור זר</w:t>
      </w:r>
      <w:r w:rsidRPr="0034049F">
        <w:rPr>
          <w:rtl/>
        </w:rPr>
        <w:t xml:space="preserve"> שהוא בעל עסק – גם </w:t>
      </w:r>
      <w:r w:rsidR="00D15012">
        <w:rPr>
          <w:rFonts w:hint="cs"/>
          <w:rtl/>
        </w:rPr>
        <w:t xml:space="preserve">את </w:t>
      </w:r>
      <w:r w:rsidRPr="0034049F">
        <w:rPr>
          <w:rtl/>
        </w:rPr>
        <w:t>סוג עסקיו</w:t>
      </w:r>
      <w:r w:rsidRPr="0034049F">
        <w:rPr>
          <w:rFonts w:hint="cs"/>
          <w:rtl/>
        </w:rPr>
        <w:t>.</w:t>
      </w:r>
    </w:p>
    <w:p w:rsidR="009543EF" w:rsidRDefault="002032B1" w:rsidP="00845397">
      <w:pPr>
        <w:spacing w:line="360" w:lineRule="auto"/>
        <w:jc w:val="both"/>
        <w:rPr>
          <w:rtl/>
        </w:rPr>
      </w:pPr>
      <w:r>
        <w:rPr>
          <w:rFonts w:hint="cs"/>
          <w:rtl/>
        </w:rPr>
        <w:t xml:space="preserve">כאשר השירות שניתן הוא למקבל שירות שהוא איש ציבור זר או לנהנה שהוא </w:t>
      </w:r>
      <w:r w:rsidR="00CC0DF8">
        <w:rPr>
          <w:rFonts w:hint="cs"/>
          <w:rtl/>
        </w:rPr>
        <w:t>איש ציבור זר -</w:t>
      </w:r>
      <w:r>
        <w:rPr>
          <w:rFonts w:hint="cs"/>
          <w:rtl/>
        </w:rPr>
        <w:t xml:space="preserve"> נותן השירות נדרש לקבל אישור לביצוע הפעולה מנושא משרה. האישור יינתן לאחר בחינת מידת הסיכון של מקבל השירות להלבנת הון ולמימון טרור. אם התברר לנותן השירות, לאחר מתן השירות, כי מקבל השירות או הנהנה הוא איש ציבור זר, עליו לקבל אישור מנושא משרה טרם מתן כל שירות נוסף. לצורך בירור האם מקבל השירות הינו איש ציבור זר, נותן השירות רשאי לפעול לפי נוסח הטופס הקיים בתוספת השנייה</w:t>
      </w:r>
      <w:r w:rsidR="007C112A">
        <w:rPr>
          <w:rFonts w:hint="cs"/>
          <w:rtl/>
        </w:rPr>
        <w:t xml:space="preserve"> לצו</w:t>
      </w:r>
      <w:r>
        <w:rPr>
          <w:rFonts w:hint="cs"/>
          <w:rtl/>
        </w:rPr>
        <w:t>.</w:t>
      </w:r>
    </w:p>
    <w:p w:rsidR="003935EC" w:rsidRPr="0034049F" w:rsidRDefault="002032B1" w:rsidP="00845397">
      <w:pPr>
        <w:spacing w:line="360" w:lineRule="auto"/>
        <w:jc w:val="both"/>
        <w:rPr>
          <w:rtl/>
        </w:rPr>
      </w:pPr>
      <w:r w:rsidRPr="00D15012">
        <w:rPr>
          <w:rFonts w:hint="cs"/>
          <w:b/>
          <w:bCs/>
          <w:rtl/>
        </w:rPr>
        <w:t xml:space="preserve">מקבל שירות, לעניין שירות </w:t>
      </w:r>
      <w:r w:rsidRPr="00D15012">
        <w:rPr>
          <w:rFonts w:ascii="David" w:hAnsi="David"/>
          <w:b/>
          <w:bCs/>
          <w:rtl/>
        </w:rPr>
        <w:t>בנכס פיננסי</w:t>
      </w:r>
      <w:r w:rsidRPr="0034049F">
        <w:rPr>
          <w:rFonts w:ascii="David" w:hAnsi="David" w:hint="cs"/>
          <w:rtl/>
        </w:rPr>
        <w:t>,</w:t>
      </w:r>
      <w:r w:rsidRPr="0034049F">
        <w:rPr>
          <w:rFonts w:ascii="David" w:hAnsi="David"/>
          <w:rtl/>
        </w:rPr>
        <w:t xml:space="preserve"> ה</w:t>
      </w:r>
      <w:r w:rsidRPr="0034049F">
        <w:rPr>
          <w:rFonts w:ascii="David" w:hAnsi="David" w:hint="cs"/>
          <w:rtl/>
        </w:rPr>
        <w:t>וא</w:t>
      </w:r>
      <w:r w:rsidRPr="0034049F">
        <w:rPr>
          <w:rFonts w:ascii="David" w:hAnsi="David"/>
          <w:rtl/>
        </w:rPr>
        <w:t xml:space="preserve"> מי שמקבל שירות בנכס פיננסי, אף אם אדם אחר ביקש את השירות בעבורו. </w:t>
      </w:r>
    </w:p>
    <w:p w:rsidR="003935EC" w:rsidRDefault="002032B1" w:rsidP="00845397">
      <w:pPr>
        <w:spacing w:line="360" w:lineRule="auto"/>
        <w:jc w:val="both"/>
        <w:rPr>
          <w:rtl/>
        </w:rPr>
      </w:pPr>
      <w:r w:rsidRPr="00D15012">
        <w:rPr>
          <w:rFonts w:hint="cs"/>
          <w:b/>
          <w:bCs/>
          <w:rtl/>
        </w:rPr>
        <w:t>מקבל שירות</w:t>
      </w:r>
      <w:r w:rsidR="002B2F37">
        <w:rPr>
          <w:rFonts w:hint="cs"/>
          <w:b/>
          <w:bCs/>
          <w:rtl/>
        </w:rPr>
        <w:t>,</w:t>
      </w:r>
      <w:r w:rsidRPr="00D15012">
        <w:rPr>
          <w:rFonts w:hint="cs"/>
          <w:b/>
          <w:bCs/>
          <w:rtl/>
        </w:rPr>
        <w:t xml:space="preserve"> לעניין שירותי אשראי</w:t>
      </w:r>
      <w:r w:rsidR="002B2F37">
        <w:rPr>
          <w:rFonts w:hint="cs"/>
          <w:b/>
          <w:bCs/>
          <w:rtl/>
        </w:rPr>
        <w:t>,</w:t>
      </w:r>
      <w:r w:rsidRPr="0034049F">
        <w:rPr>
          <w:rFonts w:hint="cs"/>
          <w:rtl/>
        </w:rPr>
        <w:t xml:space="preserve"> הוא </w:t>
      </w:r>
      <w:r w:rsidRPr="0034049F">
        <w:rPr>
          <w:rFonts w:ascii="David" w:hAnsi="David"/>
          <w:rtl/>
        </w:rPr>
        <w:t>מי שמקבל</w:t>
      </w:r>
      <w:r w:rsidRPr="00745BD1">
        <w:rPr>
          <w:rFonts w:ascii="David" w:hAnsi="David"/>
          <w:rtl/>
        </w:rPr>
        <w:t xml:space="preserve"> אשראי מנותן שירותי אשראי, אף אם אדם אחר ביקש את השירות בעבורו. וכן, לעניין חובות </w:t>
      </w:r>
      <w:r w:rsidR="00CC0DF8">
        <w:rPr>
          <w:rFonts w:ascii="David" w:hAnsi="David" w:hint="cs"/>
          <w:rtl/>
        </w:rPr>
        <w:t xml:space="preserve">רישום פרטי </w:t>
      </w:r>
      <w:r w:rsidRPr="00745BD1">
        <w:rPr>
          <w:rFonts w:ascii="David" w:hAnsi="David"/>
          <w:rtl/>
        </w:rPr>
        <w:t>זיהוי ו</w:t>
      </w:r>
      <w:r w:rsidR="00CC0DF8">
        <w:rPr>
          <w:rFonts w:ascii="David" w:hAnsi="David" w:hint="cs"/>
          <w:rtl/>
        </w:rPr>
        <w:t xml:space="preserve">חובות </w:t>
      </w:r>
      <w:r w:rsidRPr="00745BD1">
        <w:rPr>
          <w:rFonts w:ascii="David" w:hAnsi="David"/>
          <w:rtl/>
        </w:rPr>
        <w:t xml:space="preserve">הדיווח, מקבל שירות </w:t>
      </w:r>
      <w:r w:rsidRPr="00745BD1">
        <w:rPr>
          <w:rFonts w:ascii="David" w:hAnsi="David"/>
          <w:rtl/>
        </w:rPr>
        <w:lastRenderedPageBreak/>
        <w:t>הוא גם מי שהתחייב במסמכי האשראי להחזיר את האשראי, למעט ערב, או מי שמבקש להחזיר את האשראי והוא אינו מקבל האשראי.</w:t>
      </w:r>
    </w:p>
    <w:p w:rsidR="00D26CDB" w:rsidRDefault="002032B1" w:rsidP="00845397">
      <w:pPr>
        <w:spacing w:line="360" w:lineRule="auto"/>
        <w:jc w:val="both"/>
        <w:rPr>
          <w:rtl/>
        </w:rPr>
      </w:pPr>
      <w:r>
        <w:rPr>
          <w:rFonts w:hint="cs"/>
          <w:rtl/>
        </w:rPr>
        <w:t xml:space="preserve">ההגדרה של מקבל שירות כוללת גם מיופה כוח. לפיכך, </w:t>
      </w:r>
      <w:r w:rsidR="00CC0DF8">
        <w:rPr>
          <w:rFonts w:hint="cs"/>
          <w:rtl/>
        </w:rPr>
        <w:t>יראו ב</w:t>
      </w:r>
      <w:r w:rsidR="00CC0DF8" w:rsidRPr="00CC0DF8">
        <w:rPr>
          <w:rFonts w:hint="cs"/>
          <w:b/>
          <w:bCs/>
          <w:rtl/>
        </w:rPr>
        <w:t>מיופה כוח</w:t>
      </w:r>
      <w:r w:rsidR="00CC0DF8">
        <w:rPr>
          <w:rFonts w:hint="cs"/>
          <w:rtl/>
        </w:rPr>
        <w:t xml:space="preserve"> כ</w:t>
      </w:r>
      <w:r w:rsidR="00312879">
        <w:rPr>
          <w:rFonts w:hint="cs"/>
          <w:rtl/>
        </w:rPr>
        <w:t>מקבל שירות</w:t>
      </w:r>
      <w:r w:rsidR="00CC0DF8">
        <w:rPr>
          <w:rFonts w:hint="cs"/>
          <w:rtl/>
        </w:rPr>
        <w:t>.</w:t>
      </w:r>
      <w:r w:rsidR="00312879">
        <w:rPr>
          <w:rFonts w:hint="cs"/>
          <w:rtl/>
        </w:rPr>
        <w:t xml:space="preserve"> </w:t>
      </w:r>
      <w:r w:rsidR="00CC0DF8">
        <w:rPr>
          <w:rFonts w:hint="cs"/>
          <w:rtl/>
        </w:rPr>
        <w:t xml:space="preserve">מיופה כוח הוא </w:t>
      </w:r>
      <w:r w:rsidR="00CC0DF8">
        <w:rPr>
          <w:rtl/>
        </w:rPr>
        <w:t>מי שמקבל השירות ייפה את כוחו לפעול מטעמו, בין אם מקבל השירות הוא</w:t>
      </w:r>
      <w:r w:rsidR="00CC0DF8">
        <w:rPr>
          <w:rFonts w:hint="cs"/>
          <w:rtl/>
        </w:rPr>
        <w:t xml:space="preserve"> </w:t>
      </w:r>
      <w:r w:rsidR="00CC0DF8">
        <w:rPr>
          <w:rtl/>
        </w:rPr>
        <w:t>יחיד ובין אם לאו</w:t>
      </w:r>
      <w:r w:rsidR="00CC0DF8">
        <w:rPr>
          <w:rFonts w:hint="cs"/>
          <w:rtl/>
        </w:rPr>
        <w:t>.</w:t>
      </w:r>
      <w:r w:rsidR="00C50F55">
        <w:rPr>
          <w:rFonts w:hint="cs"/>
          <w:rtl/>
        </w:rPr>
        <w:t xml:space="preserve"> </w:t>
      </w:r>
      <w:r w:rsidR="00E402F6">
        <w:rPr>
          <w:rFonts w:hint="cs"/>
          <w:rtl/>
        </w:rPr>
        <w:t>יובהר כי</w:t>
      </w:r>
      <w:r w:rsidR="00C50F55">
        <w:rPr>
          <w:rFonts w:hint="cs"/>
          <w:rtl/>
        </w:rPr>
        <w:t xml:space="preserve"> שליח הנשלח </w:t>
      </w:r>
      <w:r w:rsidR="00E402F6">
        <w:rPr>
          <w:rFonts w:hint="cs"/>
          <w:rtl/>
        </w:rPr>
        <w:t xml:space="preserve">מטעם מקבל השירות </w:t>
      </w:r>
      <w:r w:rsidR="00C50F55">
        <w:rPr>
          <w:rFonts w:hint="cs"/>
          <w:rtl/>
        </w:rPr>
        <w:t>לקבל שירות מנותן השירות מוגדר כמיופה כוח</w:t>
      </w:r>
      <w:r w:rsidR="00E402F6">
        <w:rPr>
          <w:rFonts w:hint="cs"/>
          <w:rtl/>
        </w:rPr>
        <w:t>, אשר רואים בו כמקבל שירות.</w:t>
      </w:r>
    </w:p>
    <w:p w:rsidR="00854C8A" w:rsidRDefault="002032B1" w:rsidP="00845397">
      <w:pPr>
        <w:spacing w:line="360" w:lineRule="auto"/>
        <w:jc w:val="both"/>
        <w:rPr>
          <w:rFonts w:ascii="David" w:hAnsi="David"/>
          <w:rtl/>
        </w:rPr>
      </w:pPr>
      <w:r w:rsidRPr="00D15012">
        <w:rPr>
          <w:rFonts w:hint="cs"/>
          <w:rtl/>
        </w:rPr>
        <w:t xml:space="preserve">הצו </w:t>
      </w:r>
      <w:r>
        <w:rPr>
          <w:rFonts w:hint="cs"/>
          <w:rtl/>
        </w:rPr>
        <w:t xml:space="preserve">מבחין </w:t>
      </w:r>
      <w:r w:rsidR="000D0D88">
        <w:rPr>
          <w:rFonts w:hint="cs"/>
          <w:rtl/>
        </w:rPr>
        <w:t xml:space="preserve">בהטלת החובות </w:t>
      </w:r>
      <w:r>
        <w:rPr>
          <w:rFonts w:hint="cs"/>
          <w:rtl/>
        </w:rPr>
        <w:t>בין מקבל שירות</w:t>
      </w:r>
      <w:r w:rsidR="0097215B">
        <w:rPr>
          <w:rFonts w:hint="cs"/>
          <w:rtl/>
        </w:rPr>
        <w:t xml:space="preserve"> קבוע</w:t>
      </w:r>
      <w:r>
        <w:rPr>
          <w:rFonts w:hint="cs"/>
          <w:rtl/>
        </w:rPr>
        <w:t xml:space="preserve"> ומקבל שירות מזדמן. </w:t>
      </w:r>
      <w:r w:rsidR="003935EC" w:rsidRPr="00D15012">
        <w:rPr>
          <w:rFonts w:hint="cs"/>
          <w:b/>
          <w:bCs/>
          <w:rtl/>
        </w:rPr>
        <w:t>מקבל שירות מזדמן</w:t>
      </w:r>
      <w:r w:rsidR="003935EC" w:rsidRPr="0034049F">
        <w:rPr>
          <w:rFonts w:hint="cs"/>
          <w:rtl/>
        </w:rPr>
        <w:t xml:space="preserve"> הוא </w:t>
      </w:r>
      <w:r w:rsidR="003935EC" w:rsidRPr="0034049F">
        <w:rPr>
          <w:rFonts w:ascii="David" w:hAnsi="David"/>
          <w:rtl/>
        </w:rPr>
        <w:t>מקבל שירות שבמהלך תקופה של חצי שנה קיבל אשראי או שירות בנכס פיננסי אצל אותו נותן שירות, בסכום מצטבר ש</w:t>
      </w:r>
      <w:r w:rsidR="00147C52">
        <w:rPr>
          <w:rFonts w:ascii="David" w:hAnsi="David"/>
          <w:rtl/>
        </w:rPr>
        <w:t>אינו עולה על 50,000 שקלים חדשים</w:t>
      </w:r>
      <w:r w:rsidR="003935EC" w:rsidRPr="0034049F">
        <w:rPr>
          <w:rFonts w:ascii="David" w:hAnsi="David"/>
          <w:rtl/>
        </w:rPr>
        <w:t xml:space="preserve"> </w:t>
      </w:r>
      <w:r w:rsidR="00147C52">
        <w:rPr>
          <w:rFonts w:ascii="David" w:hAnsi="David" w:hint="cs"/>
          <w:rtl/>
        </w:rPr>
        <w:t>(</w:t>
      </w:r>
      <w:r w:rsidR="003935EC" w:rsidRPr="0034049F">
        <w:rPr>
          <w:rFonts w:ascii="David" w:hAnsi="David"/>
          <w:rtl/>
        </w:rPr>
        <w:t>למעט במקרה של פעולה בסכום העולה על 5,000 שקלים חדשים, שבה מעורבת מדינה בסיכון</w:t>
      </w:r>
      <w:r w:rsidR="00147C52">
        <w:rPr>
          <w:rFonts w:ascii="David" w:hAnsi="David" w:hint="cs"/>
          <w:rtl/>
        </w:rPr>
        <w:t>)</w:t>
      </w:r>
      <w:r w:rsidR="003935EC" w:rsidRPr="0034049F">
        <w:rPr>
          <w:rFonts w:ascii="David" w:hAnsi="David" w:hint="cs"/>
          <w:rtl/>
        </w:rPr>
        <w:t xml:space="preserve">. </w:t>
      </w:r>
    </w:p>
    <w:p w:rsidR="00440CED" w:rsidRDefault="002032B1" w:rsidP="00845397">
      <w:pPr>
        <w:spacing w:line="360" w:lineRule="auto"/>
        <w:jc w:val="both"/>
        <w:rPr>
          <w:rFonts w:ascii="David" w:hAnsi="David"/>
          <w:rtl/>
        </w:rPr>
      </w:pPr>
      <w:r w:rsidRPr="0034049F">
        <w:rPr>
          <w:rFonts w:ascii="David" w:hAnsi="David" w:hint="cs"/>
          <w:rtl/>
        </w:rPr>
        <w:t xml:space="preserve">כאשר השירות שניתן הוא במטבע וירטואלי, </w:t>
      </w:r>
      <w:r w:rsidR="00854C8A">
        <w:rPr>
          <w:rFonts w:ascii="David" w:hAnsi="David" w:hint="cs"/>
          <w:rtl/>
        </w:rPr>
        <w:t>הסף נמוך יותר. ב</w:t>
      </w:r>
      <w:r w:rsidR="00D15012">
        <w:rPr>
          <w:rFonts w:ascii="David" w:hAnsi="David" w:hint="cs"/>
          <w:rtl/>
        </w:rPr>
        <w:t xml:space="preserve">מקרה זה, </w:t>
      </w:r>
      <w:r w:rsidRPr="0097215B">
        <w:rPr>
          <w:rFonts w:ascii="David" w:hAnsi="David" w:hint="cs"/>
          <w:b/>
          <w:bCs/>
          <w:rtl/>
        </w:rPr>
        <w:t>מקבל שירות מזדמן</w:t>
      </w:r>
      <w:r>
        <w:rPr>
          <w:rFonts w:ascii="David" w:hAnsi="David" w:hint="cs"/>
          <w:rtl/>
        </w:rPr>
        <w:t xml:space="preserve"> הוא מי </w:t>
      </w:r>
      <w:r w:rsidRPr="00745BD1">
        <w:rPr>
          <w:rFonts w:ascii="David" w:hAnsi="David"/>
          <w:rtl/>
        </w:rPr>
        <w:t xml:space="preserve">שבמהלך תקופה של חצי שנה קיבל אשראי או שירות בנכס פיננסי אצל אותו נותן שירות, בסכום מצטבר </w:t>
      </w:r>
      <w:r w:rsidR="000951BD">
        <w:rPr>
          <w:rFonts w:ascii="David" w:hAnsi="David"/>
          <w:rtl/>
        </w:rPr>
        <w:t>שאינו עולה על 5,000 שקלים חדשים</w:t>
      </w:r>
      <w:r w:rsidRPr="00745BD1">
        <w:rPr>
          <w:rFonts w:ascii="David" w:hAnsi="David"/>
          <w:rtl/>
        </w:rPr>
        <w:t xml:space="preserve"> </w:t>
      </w:r>
      <w:r w:rsidR="000951BD">
        <w:rPr>
          <w:rFonts w:ascii="David" w:hAnsi="David" w:hint="cs"/>
          <w:rtl/>
        </w:rPr>
        <w:t xml:space="preserve">(למעט </w:t>
      </w:r>
      <w:r w:rsidRPr="00745BD1">
        <w:rPr>
          <w:rFonts w:ascii="David" w:hAnsi="David"/>
          <w:rtl/>
        </w:rPr>
        <w:t>לעניין הדרישה לחתימת מקור בסעיף 5 לצו וחובת זי</w:t>
      </w:r>
      <w:r w:rsidR="009543EF">
        <w:rPr>
          <w:rFonts w:ascii="David" w:hAnsi="David"/>
          <w:rtl/>
        </w:rPr>
        <w:t>הוי פנים מול פנים בסעיף 6 לצו</w:t>
      </w:r>
      <w:r w:rsidR="009543EF">
        <w:rPr>
          <w:rFonts w:ascii="David" w:hAnsi="David" w:hint="cs"/>
          <w:rtl/>
        </w:rPr>
        <w:t xml:space="preserve">, אז הסף להחלת החובה הוא </w:t>
      </w:r>
      <w:r w:rsidRPr="00745BD1">
        <w:rPr>
          <w:rFonts w:ascii="David" w:hAnsi="David"/>
          <w:rtl/>
        </w:rPr>
        <w:t xml:space="preserve">סכום מצטבר שאינו עולה על 50,000 </w:t>
      </w:r>
      <w:r w:rsidR="000951BD">
        <w:rPr>
          <w:rFonts w:ascii="David" w:hAnsi="David" w:hint="cs"/>
          <w:rtl/>
        </w:rPr>
        <w:t>שקלים חדשים)</w:t>
      </w:r>
      <w:r w:rsidRPr="00745BD1">
        <w:rPr>
          <w:rFonts w:ascii="David" w:hAnsi="David"/>
          <w:rtl/>
        </w:rPr>
        <w:t>.</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F03159">
        <w:tc>
          <w:tcPr>
            <w:tcW w:w="8296" w:type="dxa"/>
            <w:shd w:val="clear" w:color="auto" w:fill="0070C0"/>
          </w:tcPr>
          <w:p w:rsidR="00F03159" w:rsidRPr="00F03159" w:rsidRDefault="002032B1" w:rsidP="00845397">
            <w:pPr>
              <w:pStyle w:val="2"/>
              <w:spacing w:line="360" w:lineRule="auto"/>
              <w:outlineLvl w:val="1"/>
              <w:rPr>
                <w:rtl/>
              </w:rPr>
            </w:pPr>
            <w:bookmarkStart w:id="4" w:name="_Toc85982152"/>
            <w:r w:rsidRPr="00976621">
              <w:rPr>
                <w:rFonts w:ascii="David" w:hAnsi="David" w:cs="David" w:hint="cs"/>
                <w:rtl/>
              </w:rPr>
              <w:t xml:space="preserve">2. רישום ואימות פרטי זיהוי </w:t>
            </w:r>
            <w:r w:rsidRPr="00976621">
              <w:rPr>
                <w:rFonts w:ascii="David" w:hAnsi="David" w:cs="David"/>
                <w:rtl/>
              </w:rPr>
              <w:t>–</w:t>
            </w:r>
            <w:r w:rsidRPr="00976621">
              <w:rPr>
                <w:rFonts w:ascii="David" w:hAnsi="David" w:cs="David" w:hint="cs"/>
                <w:rtl/>
              </w:rPr>
              <w:t xml:space="preserve"> סעיפים 3 ו-4 לצו</w:t>
            </w:r>
            <w:bookmarkEnd w:id="4"/>
          </w:p>
        </w:tc>
      </w:tr>
    </w:tbl>
    <w:p w:rsidR="0097215B" w:rsidRDefault="002032B1" w:rsidP="00845397">
      <w:pPr>
        <w:spacing w:before="240" w:line="360" w:lineRule="auto"/>
        <w:jc w:val="both"/>
        <w:rPr>
          <w:rtl/>
        </w:rPr>
      </w:pPr>
      <w:r>
        <w:rPr>
          <w:rFonts w:hint="cs"/>
          <w:rtl/>
        </w:rPr>
        <w:t xml:space="preserve">סעיף 3 לצו קובע </w:t>
      </w:r>
      <w:r w:rsidR="000D0D88">
        <w:rPr>
          <w:rFonts w:hint="cs"/>
          <w:rtl/>
        </w:rPr>
        <w:t>את החובה</w:t>
      </w:r>
      <w:r>
        <w:rPr>
          <w:rFonts w:hint="cs"/>
          <w:rtl/>
        </w:rPr>
        <w:t xml:space="preserve"> לרשום את פרטי </w:t>
      </w:r>
      <w:r w:rsidR="000D0D88">
        <w:rPr>
          <w:rFonts w:hint="cs"/>
          <w:rtl/>
        </w:rPr>
        <w:t xml:space="preserve">הזיהוי של </w:t>
      </w:r>
      <w:r>
        <w:rPr>
          <w:rFonts w:hint="cs"/>
          <w:rtl/>
        </w:rPr>
        <w:t>מקבל שירות ומיופה הכוח, ומפרט את פרטי הזיהוי הנדרשים</w:t>
      </w:r>
      <w:r w:rsidR="00F86C65">
        <w:rPr>
          <w:rFonts w:hint="cs"/>
          <w:rtl/>
        </w:rPr>
        <w:t xml:space="preserve">. </w:t>
      </w:r>
      <w:r>
        <w:rPr>
          <w:rFonts w:hint="cs"/>
          <w:rtl/>
        </w:rPr>
        <w:t xml:space="preserve"> </w:t>
      </w:r>
    </w:p>
    <w:p w:rsidR="00F86C65" w:rsidRPr="00F86C65" w:rsidRDefault="002032B1" w:rsidP="00845397">
      <w:pPr>
        <w:spacing w:line="360" w:lineRule="auto"/>
        <w:jc w:val="both"/>
        <w:rPr>
          <w:b/>
          <w:bCs/>
          <w:rtl/>
        </w:rPr>
      </w:pPr>
      <w:r w:rsidRPr="00F86C65">
        <w:rPr>
          <w:rFonts w:hint="cs"/>
          <w:b/>
          <w:bCs/>
          <w:rtl/>
        </w:rPr>
        <w:t>אילו פרטים יש לרשום</w:t>
      </w:r>
      <w:r>
        <w:rPr>
          <w:rFonts w:hint="cs"/>
          <w:b/>
          <w:bCs/>
          <w:rtl/>
        </w:rPr>
        <w:t xml:space="preserve"> ומתי</w:t>
      </w:r>
      <w:r w:rsidRPr="00F86C65">
        <w:rPr>
          <w:rFonts w:hint="cs"/>
          <w:b/>
          <w:bCs/>
          <w:rtl/>
        </w:rPr>
        <w:t>?</w:t>
      </w:r>
    </w:p>
    <w:p w:rsidR="007F31D4" w:rsidRPr="003F7787" w:rsidRDefault="002032B1" w:rsidP="00845397">
      <w:pPr>
        <w:pStyle w:val="a3"/>
        <w:numPr>
          <w:ilvl w:val="0"/>
          <w:numId w:val="4"/>
        </w:numPr>
        <w:spacing w:line="360" w:lineRule="auto"/>
        <w:jc w:val="both"/>
        <w:rPr>
          <w:rFonts w:ascii="David" w:hAnsi="David" w:cs="David"/>
          <w:sz w:val="24"/>
          <w:szCs w:val="24"/>
          <w:rtl/>
        </w:rPr>
      </w:pPr>
      <w:r w:rsidRPr="003F7787">
        <w:rPr>
          <w:rFonts w:ascii="Times New Roman" w:hAnsi="Times New Roman" w:cs="David" w:hint="cs"/>
          <w:b/>
          <w:bCs/>
          <w:sz w:val="24"/>
          <w:szCs w:val="24"/>
          <w:rtl/>
        </w:rPr>
        <w:t>מקבל שירות קבוע ומיופה כוח:</w:t>
      </w:r>
      <w:r w:rsidRPr="00F86C65">
        <w:rPr>
          <w:rFonts w:hint="cs"/>
          <w:b/>
          <w:bCs/>
          <w:rtl/>
        </w:rPr>
        <w:t xml:space="preserve"> </w:t>
      </w:r>
      <w:r w:rsidRPr="003F7787">
        <w:rPr>
          <w:rFonts w:ascii="David" w:hAnsi="David" w:cs="David"/>
          <w:sz w:val="24"/>
          <w:szCs w:val="24"/>
          <w:rtl/>
        </w:rPr>
        <w:t xml:space="preserve">נותן שירות המעניק שירות למקבל שירות </w:t>
      </w:r>
      <w:r w:rsidRPr="003F7787">
        <w:rPr>
          <w:rFonts w:ascii="David" w:hAnsi="David" w:cs="David"/>
          <w:b/>
          <w:bCs/>
          <w:sz w:val="24"/>
          <w:szCs w:val="24"/>
          <w:rtl/>
        </w:rPr>
        <w:t>בפעם הראשונה</w:t>
      </w:r>
      <w:r w:rsidRPr="003F7787">
        <w:rPr>
          <w:rFonts w:ascii="David" w:hAnsi="David" w:cs="David"/>
          <w:sz w:val="24"/>
          <w:szCs w:val="24"/>
          <w:rtl/>
        </w:rPr>
        <w:t xml:space="preserve">, נדרש לרשום ולאמת את פרטי הזיהוי לגבי מקבל השירות ומיופה הכוח, </w:t>
      </w:r>
      <w:r w:rsidRPr="003F7787">
        <w:rPr>
          <w:rFonts w:ascii="David" w:hAnsi="David" w:cs="David"/>
          <w:b/>
          <w:bCs/>
          <w:sz w:val="24"/>
          <w:szCs w:val="24"/>
          <w:rtl/>
        </w:rPr>
        <w:t>אלא אם כן כבר יש בידיו את פרטי הזיהוי המאומתים.</w:t>
      </w:r>
      <w:r w:rsidRPr="003F7787">
        <w:rPr>
          <w:rFonts w:ascii="David" w:hAnsi="David" w:cs="David"/>
          <w:sz w:val="24"/>
          <w:szCs w:val="24"/>
          <w:rtl/>
        </w:rPr>
        <w:t xml:space="preserve"> פרטי הזיהוי שעל נותן השירות לרשום הם שם, מספר הזהות, תאריך לידה ומין, ליחיד, או תאריך התאגדות לתאגיד, ומען. </w:t>
      </w:r>
    </w:p>
    <w:p w:rsidR="007F31D4" w:rsidRPr="003F7787" w:rsidRDefault="002032B1" w:rsidP="00845397">
      <w:pPr>
        <w:pStyle w:val="a3"/>
        <w:numPr>
          <w:ilvl w:val="0"/>
          <w:numId w:val="4"/>
        </w:numPr>
        <w:spacing w:line="360" w:lineRule="auto"/>
        <w:jc w:val="both"/>
        <w:rPr>
          <w:rFonts w:ascii="David" w:hAnsi="David" w:cs="David"/>
          <w:sz w:val="24"/>
          <w:szCs w:val="24"/>
        </w:rPr>
      </w:pPr>
      <w:r w:rsidRPr="00FE27A7">
        <w:rPr>
          <w:rFonts w:ascii="David" w:hAnsi="David" w:cs="David"/>
          <w:b/>
          <w:bCs/>
          <w:sz w:val="24"/>
          <w:szCs w:val="24"/>
          <w:rtl/>
        </w:rPr>
        <w:t>מקבל שירות מזדמן</w:t>
      </w:r>
      <w:r w:rsidR="00085B8F">
        <w:rPr>
          <w:rFonts w:ascii="David" w:hAnsi="David" w:cs="David" w:hint="cs"/>
          <w:b/>
          <w:bCs/>
          <w:sz w:val="24"/>
          <w:szCs w:val="24"/>
          <w:rtl/>
        </w:rPr>
        <w:t xml:space="preserve"> ומיופה כוח</w:t>
      </w:r>
      <w:r w:rsidRPr="00FE27A7">
        <w:rPr>
          <w:rFonts w:ascii="David" w:hAnsi="David" w:cs="David"/>
          <w:b/>
          <w:bCs/>
          <w:sz w:val="24"/>
          <w:szCs w:val="24"/>
          <w:rtl/>
        </w:rPr>
        <w:t>:</w:t>
      </w:r>
      <w:r w:rsidRPr="00FE27A7">
        <w:rPr>
          <w:rFonts w:ascii="David" w:hAnsi="David" w:cs="David"/>
          <w:rtl/>
        </w:rPr>
        <w:t xml:space="preserve"> </w:t>
      </w:r>
      <w:r w:rsidRPr="003F7787">
        <w:rPr>
          <w:rFonts w:ascii="David" w:hAnsi="David" w:cs="David"/>
          <w:sz w:val="24"/>
          <w:szCs w:val="24"/>
          <w:rtl/>
        </w:rPr>
        <w:t>אם מקבל השירות הוא מקבל שירות מזדמן, נותן השירות נדרש לרשום רק את שמו</w:t>
      </w:r>
      <w:r w:rsidR="00E402F6">
        <w:rPr>
          <w:rFonts w:ascii="David" w:hAnsi="David" w:cs="David" w:hint="cs"/>
          <w:sz w:val="24"/>
          <w:szCs w:val="24"/>
          <w:rtl/>
        </w:rPr>
        <w:t>,</w:t>
      </w:r>
      <w:r w:rsidRPr="003F7787">
        <w:rPr>
          <w:rFonts w:ascii="David" w:hAnsi="David" w:cs="David"/>
          <w:sz w:val="24"/>
          <w:szCs w:val="24"/>
          <w:rtl/>
        </w:rPr>
        <w:t xml:space="preserve"> מספר זהותו</w:t>
      </w:r>
      <w:r w:rsidR="00E402F6">
        <w:rPr>
          <w:rFonts w:ascii="David" w:hAnsi="David" w:cs="David" w:hint="cs"/>
          <w:sz w:val="24"/>
          <w:szCs w:val="24"/>
          <w:rtl/>
        </w:rPr>
        <w:t xml:space="preserve"> ומענו </w:t>
      </w:r>
      <w:r w:rsidRPr="003F7787">
        <w:rPr>
          <w:rFonts w:ascii="David" w:hAnsi="David" w:cs="David"/>
          <w:sz w:val="24"/>
          <w:szCs w:val="24"/>
          <w:rtl/>
        </w:rPr>
        <w:t xml:space="preserve"> </w:t>
      </w:r>
      <w:r w:rsidR="00085B8F">
        <w:rPr>
          <w:rFonts w:ascii="David" w:hAnsi="David" w:cs="David" w:hint="cs"/>
          <w:sz w:val="24"/>
          <w:szCs w:val="24"/>
          <w:rtl/>
        </w:rPr>
        <w:t>של מקבל שירות</w:t>
      </w:r>
      <w:r w:rsidR="00E402F6">
        <w:rPr>
          <w:rFonts w:ascii="David" w:hAnsi="David" w:cs="David" w:hint="cs"/>
          <w:sz w:val="24"/>
          <w:szCs w:val="24"/>
          <w:rtl/>
        </w:rPr>
        <w:t xml:space="preserve"> </w:t>
      </w:r>
      <w:r w:rsidR="00E76921">
        <w:rPr>
          <w:rFonts w:ascii="David" w:hAnsi="David" w:cs="David" w:hint="cs"/>
          <w:sz w:val="24"/>
          <w:szCs w:val="24"/>
          <w:rtl/>
        </w:rPr>
        <w:t>ומיופה כוח.</w:t>
      </w:r>
      <w:r w:rsidR="00085B8F">
        <w:rPr>
          <w:rFonts w:ascii="David" w:hAnsi="David" w:cs="David" w:hint="cs"/>
          <w:sz w:val="24"/>
          <w:szCs w:val="24"/>
          <w:rtl/>
        </w:rPr>
        <w:t xml:space="preserve"> </w:t>
      </w:r>
      <w:r w:rsidRPr="003F7787">
        <w:rPr>
          <w:rFonts w:ascii="David" w:hAnsi="David" w:cs="David"/>
          <w:sz w:val="24"/>
          <w:szCs w:val="24"/>
          <w:rtl/>
        </w:rPr>
        <w:t xml:space="preserve">ואינו נדרש לאמת את הפרטים. מטרת רישום הפרטים היא כדי שנותן השירות ידע מתי הופך מקבל השירות המזדמן למקבל שירות </w:t>
      </w:r>
      <w:r w:rsidR="00F86C65" w:rsidRPr="003F7787">
        <w:rPr>
          <w:rFonts w:ascii="David" w:hAnsi="David" w:cs="David"/>
          <w:sz w:val="24"/>
          <w:szCs w:val="24"/>
          <w:rtl/>
        </w:rPr>
        <w:t>קבוע</w:t>
      </w:r>
      <w:r w:rsidRPr="003F7787">
        <w:rPr>
          <w:rFonts w:ascii="David" w:hAnsi="David" w:cs="David"/>
          <w:sz w:val="24"/>
          <w:szCs w:val="24"/>
          <w:rtl/>
        </w:rPr>
        <w:t xml:space="preserve"> (</w:t>
      </w:r>
      <w:r w:rsidR="00F86C65" w:rsidRPr="003F7787">
        <w:rPr>
          <w:rFonts w:ascii="David" w:hAnsi="David" w:cs="David"/>
          <w:sz w:val="24"/>
          <w:szCs w:val="24"/>
          <w:rtl/>
        </w:rPr>
        <w:t>בהתאם לסף הפעילות</w:t>
      </w:r>
      <w:r w:rsidRPr="003F7787">
        <w:rPr>
          <w:rFonts w:ascii="David" w:hAnsi="David" w:cs="David"/>
          <w:sz w:val="24"/>
          <w:szCs w:val="24"/>
          <w:rtl/>
        </w:rPr>
        <w:t>).</w:t>
      </w:r>
    </w:p>
    <w:p w:rsidR="00BB0507" w:rsidRPr="00BB0507" w:rsidRDefault="002032B1" w:rsidP="00845397">
      <w:pPr>
        <w:spacing w:line="360" w:lineRule="auto"/>
        <w:jc w:val="both"/>
        <w:rPr>
          <w:b/>
          <w:bCs/>
          <w:rtl/>
        </w:rPr>
      </w:pPr>
      <w:r>
        <w:rPr>
          <w:rFonts w:hint="cs"/>
          <w:b/>
          <w:bCs/>
          <w:rtl/>
        </w:rPr>
        <w:t xml:space="preserve">מה הן </w:t>
      </w:r>
      <w:r w:rsidRPr="00BB0507">
        <w:rPr>
          <w:rFonts w:hint="cs"/>
          <w:b/>
          <w:bCs/>
          <w:rtl/>
        </w:rPr>
        <w:t>דרישות האימות</w:t>
      </w:r>
      <w:r>
        <w:rPr>
          <w:rFonts w:hint="cs"/>
          <w:b/>
          <w:bCs/>
          <w:rtl/>
        </w:rPr>
        <w:t>?</w:t>
      </w:r>
    </w:p>
    <w:p w:rsidR="00BB0507" w:rsidRDefault="002032B1" w:rsidP="00845397">
      <w:pPr>
        <w:spacing w:line="360" w:lineRule="auto"/>
        <w:jc w:val="both"/>
        <w:rPr>
          <w:rtl/>
        </w:rPr>
      </w:pPr>
      <w:r>
        <w:rPr>
          <w:rFonts w:hint="cs"/>
          <w:rtl/>
        </w:rPr>
        <w:t>סעיף 4 לצו מפרט את המסמכים הייחודיים הנדרשים לצורך אימות פרטי הזיהוי, בהתאם לסוג מקבל השירות, למשל תושב, תושב חוץ, תאגיד, מוסד ציבורי, קטין ועוד.</w:t>
      </w:r>
    </w:p>
    <w:p w:rsidR="00BB0507" w:rsidRDefault="002032B1" w:rsidP="00845397">
      <w:pPr>
        <w:spacing w:line="360" w:lineRule="auto"/>
        <w:jc w:val="both"/>
        <w:rPr>
          <w:rtl/>
        </w:rPr>
      </w:pPr>
      <w:r>
        <w:rPr>
          <w:rFonts w:hint="cs"/>
          <w:rtl/>
        </w:rPr>
        <w:t xml:space="preserve">למשל, לגבי מקבל שירות יחיד שהוא תושב, </w:t>
      </w:r>
      <w:r w:rsidR="00312879">
        <w:rPr>
          <w:rFonts w:hint="cs"/>
          <w:rtl/>
        </w:rPr>
        <w:t>נותן השירות נדרש לרשום ולאמ</w:t>
      </w:r>
      <w:r w:rsidR="00312879" w:rsidRPr="006D3A2F">
        <w:rPr>
          <w:rtl/>
        </w:rPr>
        <w:t>ת</w:t>
      </w:r>
      <w:r w:rsidR="00312879">
        <w:rPr>
          <w:rFonts w:hint="cs"/>
          <w:rtl/>
        </w:rPr>
        <w:t xml:space="preserve"> את</w:t>
      </w:r>
      <w:r w:rsidR="00312879" w:rsidRPr="006D3A2F">
        <w:rPr>
          <w:rtl/>
        </w:rPr>
        <w:t xml:space="preserve"> פרטי הזיהוי בדרך של השוואת תעודה מזהה עם מסמך נוסף הנושא תמונה ומספר זהות (</w:t>
      </w:r>
      <w:r w:rsidR="00312879">
        <w:rPr>
          <w:rtl/>
        </w:rPr>
        <w:t xml:space="preserve">ובהעדרו – עם מסמך </w:t>
      </w:r>
      <w:r w:rsidR="00312879">
        <w:rPr>
          <w:rtl/>
        </w:rPr>
        <w:lastRenderedPageBreak/>
        <w:t>הנושא שם או מספר זהות וכן מען או תאריך</w:t>
      </w:r>
      <w:r w:rsidR="00312879">
        <w:rPr>
          <w:rFonts w:hint="cs"/>
          <w:rtl/>
        </w:rPr>
        <w:t xml:space="preserve"> </w:t>
      </w:r>
      <w:r w:rsidR="00312879">
        <w:rPr>
          <w:rtl/>
        </w:rPr>
        <w:t>לידה</w:t>
      </w:r>
      <w:r w:rsidR="00312879" w:rsidRPr="006D3A2F">
        <w:rPr>
          <w:rtl/>
        </w:rPr>
        <w:t>)</w:t>
      </w:r>
      <w:r>
        <w:rPr>
          <w:rFonts w:hint="cs"/>
          <w:rtl/>
        </w:rPr>
        <w:t>.</w:t>
      </w:r>
      <w:r w:rsidR="00312879" w:rsidRPr="006D3A2F">
        <w:rPr>
          <w:rtl/>
        </w:rPr>
        <w:t xml:space="preserve"> </w:t>
      </w:r>
      <w:r>
        <w:rPr>
          <w:rFonts w:hint="cs"/>
          <w:rtl/>
        </w:rPr>
        <w:t>לעניין פרטי הזיהוי שבתעודת הזהות, רשאי נות</w:t>
      </w:r>
      <w:r w:rsidR="008762EF">
        <w:rPr>
          <w:rFonts w:hint="cs"/>
          <w:rtl/>
        </w:rPr>
        <w:t>ני</w:t>
      </w:r>
      <w:r>
        <w:rPr>
          <w:rFonts w:hint="cs"/>
          <w:rtl/>
        </w:rPr>
        <w:t xml:space="preserve"> השירות לאמת את הפרטים גם </w:t>
      </w:r>
      <w:r w:rsidR="00312879" w:rsidRPr="006D3A2F">
        <w:rPr>
          <w:rtl/>
        </w:rPr>
        <w:t>אל</w:t>
      </w:r>
      <w:r w:rsidR="00312879">
        <w:rPr>
          <w:rtl/>
        </w:rPr>
        <w:t xml:space="preserve"> מול </w:t>
      </w:r>
      <w:r w:rsidR="00312879" w:rsidRPr="006D3A2F">
        <w:rPr>
          <w:rtl/>
        </w:rPr>
        <w:t>מרשם</w:t>
      </w:r>
      <w:r w:rsidR="00312879">
        <w:rPr>
          <w:rFonts w:hint="cs"/>
          <w:rtl/>
        </w:rPr>
        <w:t xml:space="preserve"> האוכלוסין</w:t>
      </w:r>
      <w:r w:rsidR="00312879" w:rsidRPr="006D3A2F">
        <w:rPr>
          <w:rtl/>
        </w:rPr>
        <w:t>.</w:t>
      </w:r>
      <w:r w:rsidR="00312879">
        <w:rPr>
          <w:rFonts w:hint="cs"/>
          <w:rtl/>
        </w:rPr>
        <w:t xml:space="preserve"> </w:t>
      </w:r>
      <w:r w:rsidR="00312879" w:rsidRPr="00F86C65">
        <w:rPr>
          <w:b/>
          <w:bCs/>
          <w:rtl/>
        </w:rPr>
        <w:t>תעודה מזהה</w:t>
      </w:r>
      <w:r w:rsidR="00312879" w:rsidRPr="006D3A2F">
        <w:rPr>
          <w:rtl/>
        </w:rPr>
        <w:t xml:space="preserve"> </w:t>
      </w:r>
      <w:r w:rsidR="00312879">
        <w:rPr>
          <w:rFonts w:hint="cs"/>
          <w:rtl/>
        </w:rPr>
        <w:t>יכולה להיות</w:t>
      </w:r>
      <w:r w:rsidR="00312879" w:rsidRPr="006D3A2F">
        <w:rPr>
          <w:rtl/>
        </w:rPr>
        <w:t xml:space="preserve"> תעודת זהות, תעודת עולה, רישיון נהיגה, דרכון או תעודת מסע</w:t>
      </w:r>
      <w:r w:rsidR="00312879">
        <w:rPr>
          <w:rFonts w:hint="cs"/>
          <w:rtl/>
        </w:rPr>
        <w:t>.</w:t>
      </w:r>
    </w:p>
    <w:p w:rsidR="00C14CA1" w:rsidRPr="00440CED" w:rsidRDefault="002032B1" w:rsidP="00845397">
      <w:pPr>
        <w:spacing w:line="360" w:lineRule="auto"/>
        <w:jc w:val="both"/>
        <w:rPr>
          <w:rtl/>
        </w:rPr>
      </w:pPr>
      <w:r>
        <w:rPr>
          <w:rFonts w:hint="cs"/>
          <w:rtl/>
        </w:rPr>
        <w:t xml:space="preserve">סעיף 4(א1) לצו קובע כי הממונה (רשות שוק ההון, ביטוח וחיסכון), </w:t>
      </w:r>
      <w:r w:rsidRPr="004653AB">
        <w:rPr>
          <w:rFonts w:hint="cs"/>
          <w:rtl/>
        </w:rPr>
        <w:t>רשאי לתת הוראות לעניין אמצעים חלופיים לזיהוי, לאופן רישום פרטי הזיהוי ולאימות פרטים.</w:t>
      </w:r>
      <w:r>
        <w:rPr>
          <w:rFonts w:hint="cs"/>
          <w:rtl/>
        </w:rPr>
        <w:t xml:space="preserve">  </w:t>
      </w:r>
    </w:p>
    <w:p w:rsidR="00C14CA1" w:rsidRPr="008762EF" w:rsidRDefault="002032B1" w:rsidP="00845397">
      <w:pPr>
        <w:spacing w:after="0" w:line="360" w:lineRule="auto"/>
        <w:jc w:val="both"/>
        <w:rPr>
          <w:b/>
          <w:bCs/>
          <w:u w:val="single"/>
          <w:rtl/>
        </w:rPr>
      </w:pPr>
      <w:r w:rsidRPr="008762EF">
        <w:rPr>
          <w:rFonts w:hint="cs"/>
          <w:b/>
          <w:bCs/>
          <w:rtl/>
        </w:rPr>
        <w:t>דרישות זיהוי ואימות במצבים מיוחדים</w:t>
      </w:r>
    </w:p>
    <w:p w:rsidR="001419E0" w:rsidRPr="00FE27A7" w:rsidRDefault="002032B1" w:rsidP="00845397">
      <w:pPr>
        <w:pStyle w:val="a3"/>
        <w:numPr>
          <w:ilvl w:val="0"/>
          <w:numId w:val="4"/>
        </w:numPr>
        <w:spacing w:before="240" w:line="360" w:lineRule="auto"/>
        <w:jc w:val="both"/>
        <w:rPr>
          <w:rFonts w:ascii="David" w:hAnsi="David" w:cs="David"/>
          <w:sz w:val="24"/>
          <w:szCs w:val="24"/>
          <w:rtl/>
        </w:rPr>
      </w:pPr>
      <w:r w:rsidRPr="00FE27A7">
        <w:rPr>
          <w:rFonts w:ascii="David" w:hAnsi="David" w:cs="David"/>
          <w:b/>
          <w:bCs/>
          <w:sz w:val="24"/>
          <w:szCs w:val="24"/>
          <w:rtl/>
        </w:rPr>
        <w:t>ערב:</w:t>
      </w:r>
      <w:r w:rsidRPr="00FE27A7">
        <w:rPr>
          <w:rFonts w:ascii="David" w:hAnsi="David" w:cs="David"/>
          <w:b/>
          <w:bCs/>
          <w:sz w:val="24"/>
          <w:szCs w:val="24"/>
        </w:rPr>
        <w:t xml:space="preserve"> </w:t>
      </w:r>
      <w:r w:rsidRPr="00FE27A7">
        <w:rPr>
          <w:rFonts w:ascii="David" w:hAnsi="David" w:cs="David"/>
          <w:sz w:val="24"/>
          <w:szCs w:val="24"/>
          <w:rtl/>
        </w:rPr>
        <w:t xml:space="preserve">בעת חתימה של ערב על ערבות לטובת מקבל שירות כלפי נותן שירותי אשראי, ירשום נותן שירותי האשראי את פרטי הזיהוי של הערב בהתאם למסמך זיהוי (שם, מספר זהות ומען). </w:t>
      </w:r>
    </w:p>
    <w:p w:rsidR="001419E0" w:rsidRPr="00FE27A7" w:rsidRDefault="002032B1" w:rsidP="00845397">
      <w:pPr>
        <w:pStyle w:val="a3"/>
        <w:numPr>
          <w:ilvl w:val="0"/>
          <w:numId w:val="4"/>
        </w:numPr>
        <w:spacing w:line="360" w:lineRule="auto"/>
        <w:jc w:val="both"/>
        <w:rPr>
          <w:rFonts w:ascii="David" w:hAnsi="David" w:cs="David"/>
          <w:sz w:val="24"/>
          <w:szCs w:val="24"/>
          <w:rtl/>
        </w:rPr>
      </w:pPr>
      <w:r w:rsidRPr="00FE27A7">
        <w:rPr>
          <w:rFonts w:ascii="David" w:hAnsi="David" w:cs="David"/>
          <w:b/>
          <w:bCs/>
          <w:sz w:val="24"/>
          <w:szCs w:val="24"/>
          <w:rtl/>
        </w:rPr>
        <w:t>מקבל שירות שנותן השירות סבור שהוא נותן שירותים פיננסיים:</w:t>
      </w:r>
      <w:r w:rsidRPr="00FE27A7">
        <w:rPr>
          <w:rFonts w:ascii="David" w:hAnsi="David" w:cs="David"/>
          <w:sz w:val="24"/>
          <w:szCs w:val="24"/>
          <w:rtl/>
        </w:rPr>
        <w:t xml:space="preserve"> אם מקבל השירות נחזה לנותן השירות כנותן שירותים פיננסיים, על נותן השירות לדרוש גם העתק מרישיונו,</w:t>
      </w:r>
      <w:r w:rsidR="00E74913">
        <w:rPr>
          <w:rFonts w:ascii="David" w:hAnsi="David" w:cs="David" w:hint="cs"/>
          <w:sz w:val="24"/>
          <w:szCs w:val="24"/>
          <w:rtl/>
        </w:rPr>
        <w:t xml:space="preserve"> או</w:t>
      </w:r>
      <w:r w:rsidRPr="00FE27A7">
        <w:rPr>
          <w:rFonts w:ascii="David" w:hAnsi="David" w:cs="David"/>
          <w:sz w:val="24"/>
          <w:szCs w:val="24"/>
          <w:rtl/>
        </w:rPr>
        <w:t xml:space="preserve"> לבדוק את פרטיו במרשם או לדרוש ממקבל השירות הצהרה בכתב כי הוא אינו חייב ברישיון מכוח חוק הפיקוח על שירותים פיננסיים.</w:t>
      </w:r>
    </w:p>
    <w:p w:rsidR="001419E0" w:rsidRPr="00FE27A7" w:rsidRDefault="002032B1" w:rsidP="00845397">
      <w:pPr>
        <w:pStyle w:val="a3"/>
        <w:numPr>
          <w:ilvl w:val="0"/>
          <w:numId w:val="4"/>
        </w:numPr>
        <w:spacing w:line="360" w:lineRule="auto"/>
        <w:jc w:val="both"/>
        <w:rPr>
          <w:rFonts w:ascii="David" w:hAnsi="David" w:cs="David"/>
          <w:sz w:val="24"/>
          <w:szCs w:val="24"/>
          <w:rtl/>
        </w:rPr>
      </w:pPr>
      <w:r w:rsidRPr="00FE27A7">
        <w:rPr>
          <w:rFonts w:ascii="David" w:hAnsi="David" w:cs="David"/>
          <w:b/>
          <w:bCs/>
          <w:sz w:val="24"/>
          <w:szCs w:val="24"/>
          <w:rtl/>
        </w:rPr>
        <w:t>מיופה כוח:</w:t>
      </w:r>
      <w:r w:rsidRPr="00FE27A7">
        <w:rPr>
          <w:rFonts w:ascii="David" w:hAnsi="David" w:cs="David"/>
          <w:b/>
          <w:bCs/>
          <w:sz w:val="24"/>
          <w:szCs w:val="24"/>
        </w:rPr>
        <w:t xml:space="preserve"> </w:t>
      </w:r>
      <w:r w:rsidRPr="00FE27A7">
        <w:rPr>
          <w:rFonts w:ascii="David" w:hAnsi="David" w:cs="David"/>
          <w:sz w:val="24"/>
          <w:szCs w:val="24"/>
          <w:rtl/>
        </w:rPr>
        <w:t>סעיף 4(ב) קובע שאם מקבל השירות הוא מיופה כח, נותן השירות יקבל העתק של כתב ייפוי כוח, כתב נאמנות או החלטת האורגן המוסמך בתאגיד</w:t>
      </w:r>
      <w:r w:rsidR="00E74913">
        <w:rPr>
          <w:rFonts w:ascii="David" w:hAnsi="David" w:cs="David" w:hint="cs"/>
          <w:sz w:val="24"/>
          <w:szCs w:val="24"/>
          <w:rtl/>
        </w:rPr>
        <w:t xml:space="preserve"> </w:t>
      </w:r>
      <w:r w:rsidR="00E74913" w:rsidRPr="00E74913">
        <w:rPr>
          <w:rFonts w:ascii="David" w:hAnsi="David" w:cs="David"/>
          <w:sz w:val="24"/>
          <w:szCs w:val="24"/>
          <w:rtl/>
        </w:rPr>
        <w:t>בדבר מתן הסמכות למיופה הכוח לפעול מטעמו</w:t>
      </w:r>
      <w:r w:rsidR="00E74913" w:rsidRPr="00E74913">
        <w:rPr>
          <w:rStyle w:val="a4"/>
          <w:rFonts w:ascii="David" w:hAnsi="David" w:cs="David"/>
          <w:sz w:val="24"/>
          <w:szCs w:val="24"/>
          <w:rtl/>
        </w:rPr>
        <w:t xml:space="preserve"> </w:t>
      </w:r>
      <w:r w:rsidRPr="00FE27A7">
        <w:rPr>
          <w:rFonts w:ascii="David" w:hAnsi="David" w:cs="David"/>
          <w:sz w:val="24"/>
          <w:szCs w:val="24"/>
          <w:rtl/>
        </w:rPr>
        <w:t>.</w:t>
      </w:r>
    </w:p>
    <w:p w:rsidR="004653AB" w:rsidRDefault="002032B1" w:rsidP="00845397">
      <w:pPr>
        <w:pStyle w:val="a3"/>
        <w:numPr>
          <w:ilvl w:val="0"/>
          <w:numId w:val="4"/>
        </w:numPr>
        <w:spacing w:line="360" w:lineRule="auto"/>
        <w:jc w:val="both"/>
        <w:rPr>
          <w:rFonts w:ascii="David" w:hAnsi="David" w:cs="David"/>
          <w:sz w:val="24"/>
          <w:szCs w:val="24"/>
        </w:rPr>
      </w:pPr>
      <w:r w:rsidRPr="00FE27A7">
        <w:rPr>
          <w:rFonts w:ascii="David" w:hAnsi="David" w:cs="David"/>
          <w:b/>
          <w:bCs/>
          <w:sz w:val="24"/>
          <w:szCs w:val="24"/>
          <w:rtl/>
        </w:rPr>
        <w:t xml:space="preserve">הקלה באימות בעת מתן שירותי אשראי: </w:t>
      </w:r>
      <w:r w:rsidR="007F31D4" w:rsidRPr="00FE27A7">
        <w:rPr>
          <w:rFonts w:ascii="David" w:hAnsi="David" w:cs="David"/>
          <w:sz w:val="24"/>
          <w:szCs w:val="24"/>
          <w:rtl/>
        </w:rPr>
        <w:t>כאשר נותן שירותי אשראי מעניק שירותי אשראי, הוא רשאי לרשום את פרטי הזיהוי של מקבל השירות מבלי לאמתם</w:t>
      </w:r>
      <w:r w:rsidR="002D2B06">
        <w:rPr>
          <w:rFonts w:ascii="David" w:hAnsi="David" w:cs="David" w:hint="cs"/>
          <w:sz w:val="24"/>
          <w:szCs w:val="24"/>
          <w:rtl/>
        </w:rPr>
        <w:t xml:space="preserve"> טרם מתן האשראי</w:t>
      </w:r>
      <w:r w:rsidR="007F31D4" w:rsidRPr="00FE27A7">
        <w:rPr>
          <w:rFonts w:ascii="David" w:hAnsi="David" w:cs="David"/>
          <w:sz w:val="24"/>
          <w:szCs w:val="24"/>
          <w:rtl/>
        </w:rPr>
        <w:t>,</w:t>
      </w:r>
      <w:r w:rsidRPr="00FE27A7">
        <w:rPr>
          <w:rFonts w:ascii="David" w:hAnsi="David" w:cs="David"/>
          <w:sz w:val="24"/>
          <w:szCs w:val="24"/>
          <w:rtl/>
        </w:rPr>
        <w:t xml:space="preserve"> ובלבד שהתקיימו שלושה תנאים מצטברים:</w:t>
      </w:r>
    </w:p>
    <w:p w:rsidR="007F31D4" w:rsidRPr="004653AB" w:rsidRDefault="002032B1" w:rsidP="00845397">
      <w:pPr>
        <w:pStyle w:val="a3"/>
        <w:numPr>
          <w:ilvl w:val="0"/>
          <w:numId w:val="1"/>
        </w:numPr>
        <w:spacing w:line="360" w:lineRule="auto"/>
        <w:jc w:val="both"/>
        <w:rPr>
          <w:rFonts w:ascii="David" w:hAnsi="David" w:cs="David"/>
          <w:sz w:val="24"/>
          <w:szCs w:val="24"/>
        </w:rPr>
      </w:pPr>
      <w:r w:rsidRPr="004653AB">
        <w:rPr>
          <w:rFonts w:ascii="David" w:hAnsi="David" w:cs="David"/>
          <w:sz w:val="24"/>
          <w:szCs w:val="24"/>
          <w:rtl/>
        </w:rPr>
        <w:t>האשראי ניתן אגב רכישת נכס או שירות מבית עסק, והעסקה היא בסיכון נמוך בהתחשב במקבל השירות, בעסקה ובבית העסק;</w:t>
      </w:r>
    </w:p>
    <w:p w:rsidR="007F31D4" w:rsidRPr="00745BD1" w:rsidRDefault="002032B1" w:rsidP="00845397">
      <w:pPr>
        <w:pStyle w:val="a3"/>
        <w:numPr>
          <w:ilvl w:val="0"/>
          <w:numId w:val="1"/>
        </w:numPr>
        <w:spacing w:line="360" w:lineRule="auto"/>
        <w:jc w:val="both"/>
        <w:rPr>
          <w:rFonts w:ascii="David" w:hAnsi="David" w:cs="David"/>
          <w:sz w:val="24"/>
          <w:szCs w:val="24"/>
        </w:rPr>
      </w:pPr>
      <w:r w:rsidRPr="00745BD1">
        <w:rPr>
          <w:rFonts w:ascii="David" w:hAnsi="David" w:cs="David"/>
          <w:sz w:val="24"/>
          <w:szCs w:val="24"/>
          <w:rtl/>
        </w:rPr>
        <w:t>נותן שירותי האשראי קיבל לידיו, טרם ביצוע הפעולה, את פרטי הזיהוי האמורים;</w:t>
      </w:r>
    </w:p>
    <w:p w:rsidR="00440CED" w:rsidRDefault="002032B1" w:rsidP="00845397">
      <w:pPr>
        <w:pStyle w:val="a3"/>
        <w:numPr>
          <w:ilvl w:val="0"/>
          <w:numId w:val="1"/>
        </w:numPr>
        <w:spacing w:line="360" w:lineRule="auto"/>
        <w:jc w:val="both"/>
        <w:rPr>
          <w:rFonts w:ascii="David" w:hAnsi="David" w:cs="David"/>
          <w:sz w:val="24"/>
          <w:szCs w:val="24"/>
        </w:rPr>
      </w:pPr>
      <w:r w:rsidRPr="00745BD1">
        <w:rPr>
          <w:rFonts w:ascii="David" w:hAnsi="David" w:cs="David"/>
          <w:sz w:val="24"/>
          <w:szCs w:val="24"/>
          <w:rtl/>
        </w:rPr>
        <w:t xml:space="preserve">נותן שירותי האשראי יקבל ויאמת את </w:t>
      </w:r>
      <w:r w:rsidR="00F51324">
        <w:rPr>
          <w:rFonts w:ascii="David" w:hAnsi="David" w:cs="David" w:hint="cs"/>
          <w:sz w:val="24"/>
          <w:szCs w:val="24"/>
          <w:rtl/>
        </w:rPr>
        <w:t>מסמכי</w:t>
      </w:r>
      <w:r w:rsidR="00F51324" w:rsidRPr="00745BD1">
        <w:rPr>
          <w:rFonts w:ascii="David" w:hAnsi="David" w:cs="David"/>
          <w:sz w:val="24"/>
          <w:szCs w:val="24"/>
          <w:rtl/>
        </w:rPr>
        <w:t xml:space="preserve"> </w:t>
      </w:r>
      <w:r w:rsidRPr="00745BD1">
        <w:rPr>
          <w:rFonts w:ascii="David" w:hAnsi="David" w:cs="David"/>
          <w:sz w:val="24"/>
          <w:szCs w:val="24"/>
          <w:rtl/>
        </w:rPr>
        <w:t>הזיהוי בתוך שני ימי עסקים לכל היותר ממועד העסקה.</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8762EF">
        <w:tc>
          <w:tcPr>
            <w:tcW w:w="8296" w:type="dxa"/>
            <w:shd w:val="clear" w:color="auto" w:fill="0070C0"/>
          </w:tcPr>
          <w:p w:rsidR="008762EF" w:rsidRPr="00F05545" w:rsidRDefault="002032B1" w:rsidP="00845397">
            <w:pPr>
              <w:pStyle w:val="2"/>
              <w:spacing w:line="360" w:lineRule="auto"/>
              <w:outlineLvl w:val="1"/>
              <w:rPr>
                <w:rtl/>
              </w:rPr>
            </w:pPr>
            <w:bookmarkStart w:id="5" w:name="_Toc85982153"/>
            <w:r w:rsidRPr="00976621">
              <w:rPr>
                <w:rFonts w:ascii="David" w:hAnsi="David" w:cs="David" w:hint="cs"/>
                <w:rtl/>
              </w:rPr>
              <w:t xml:space="preserve">3. הצהרה על נהנה ועל בעל שליטה </w:t>
            </w:r>
            <w:r w:rsidRPr="00976621">
              <w:rPr>
                <w:rFonts w:ascii="David" w:hAnsi="David" w:cs="David"/>
                <w:rtl/>
              </w:rPr>
              <w:t>–</w:t>
            </w:r>
            <w:r w:rsidRPr="00976621">
              <w:rPr>
                <w:rFonts w:ascii="David" w:hAnsi="David" w:cs="David" w:hint="cs"/>
                <w:rtl/>
              </w:rPr>
              <w:t xml:space="preserve"> סעיפים 3(ב), 3(ג), 4(ד) ו-5 לצו</w:t>
            </w:r>
            <w:bookmarkEnd w:id="5"/>
          </w:p>
        </w:tc>
      </w:tr>
    </w:tbl>
    <w:p w:rsidR="00845397" w:rsidRDefault="00845397" w:rsidP="00845397">
      <w:pPr>
        <w:spacing w:before="240" w:line="360" w:lineRule="auto"/>
        <w:jc w:val="both"/>
        <w:rPr>
          <w:b/>
          <w:bCs/>
          <w:rtl/>
        </w:rPr>
      </w:pPr>
      <w:r>
        <w:rPr>
          <w:rFonts w:hint="cs"/>
          <w:b/>
          <w:bCs/>
          <w:rtl/>
        </w:rPr>
        <w:t>בעת מתן אשראי או שירות בנכס פיננסי, בפעם הראשונה, על נותן השירות לדרוש לקבל ממקבל השירות הצהרה בחתימת מקור, אם הוא פועל בעבור עצמו או בעבור נהנה. על נותן השירות לבדוק את סבירות הצהרת מקבל השירות.</w:t>
      </w:r>
    </w:p>
    <w:p w:rsidR="00BB0507" w:rsidRPr="0067168D" w:rsidRDefault="002032B1" w:rsidP="00845397">
      <w:pPr>
        <w:spacing w:before="240" w:line="360" w:lineRule="auto"/>
        <w:jc w:val="both"/>
        <w:rPr>
          <w:rFonts w:ascii="David" w:hAnsi="David"/>
          <w:rtl/>
        </w:rPr>
      </w:pPr>
      <w:r w:rsidRPr="00B33457">
        <w:rPr>
          <w:rFonts w:hint="cs"/>
          <w:b/>
          <w:bCs/>
          <w:rtl/>
        </w:rPr>
        <w:t xml:space="preserve">מקבל שירות </w:t>
      </w:r>
      <w:r>
        <w:rPr>
          <w:rFonts w:hint="cs"/>
          <w:b/>
          <w:bCs/>
          <w:rtl/>
        </w:rPr>
        <w:t xml:space="preserve">קבוע </w:t>
      </w:r>
      <w:r w:rsidRPr="00B33457">
        <w:rPr>
          <w:rFonts w:hint="cs"/>
          <w:b/>
          <w:bCs/>
          <w:rtl/>
        </w:rPr>
        <w:t>הפועל עבור נהנה</w:t>
      </w:r>
      <w:r>
        <w:rPr>
          <w:rFonts w:hint="cs"/>
          <w:b/>
          <w:bCs/>
          <w:rtl/>
        </w:rPr>
        <w:t>:</w:t>
      </w:r>
      <w:r>
        <w:rPr>
          <w:rFonts w:hint="cs"/>
          <w:rtl/>
        </w:rPr>
        <w:t xml:space="preserve"> במקרה שמקבל שירות</w:t>
      </w:r>
      <w:r w:rsidR="001419E0">
        <w:rPr>
          <w:rFonts w:hint="cs"/>
          <w:rtl/>
        </w:rPr>
        <w:t xml:space="preserve"> קבוע</w:t>
      </w:r>
      <w:r>
        <w:rPr>
          <w:rFonts w:hint="cs"/>
          <w:rtl/>
        </w:rPr>
        <w:t xml:space="preserve"> פועל עבור נהנה, נותן השירות נדרש</w:t>
      </w:r>
      <w:r w:rsidRPr="00F67732">
        <w:rPr>
          <w:rtl/>
        </w:rPr>
        <w:t xml:space="preserve"> לקבל </w:t>
      </w:r>
      <w:r>
        <w:rPr>
          <w:rFonts w:hint="cs"/>
          <w:rtl/>
        </w:rPr>
        <w:t xml:space="preserve">ממקבל השירות </w:t>
      </w:r>
      <w:r w:rsidRPr="00F67732">
        <w:rPr>
          <w:rtl/>
        </w:rPr>
        <w:t xml:space="preserve">הצהרת נהנה חתומה </w:t>
      </w:r>
      <w:r>
        <w:rPr>
          <w:rFonts w:hint="cs"/>
          <w:rtl/>
        </w:rPr>
        <w:t>בחתימת</w:t>
      </w:r>
      <w:r w:rsidRPr="00F67732">
        <w:rPr>
          <w:rtl/>
        </w:rPr>
        <w:t xml:space="preserve"> מקור</w:t>
      </w:r>
      <w:r>
        <w:rPr>
          <w:rFonts w:hint="cs"/>
          <w:rtl/>
        </w:rPr>
        <w:t>, לגבי כל אחד מהנהנים הקיימים.</w:t>
      </w:r>
      <w:r w:rsidRPr="00F67732">
        <w:rPr>
          <w:rtl/>
        </w:rPr>
        <w:t xml:space="preserve"> </w:t>
      </w:r>
      <w:r w:rsidRPr="00BB0507">
        <w:rPr>
          <w:rFonts w:ascii="David" w:hAnsi="David" w:hint="cs"/>
          <w:rtl/>
        </w:rPr>
        <w:t xml:space="preserve">בהצהרה זו יש לרשום את שם ומספר זהותו של הנהנה. במצב שבו נותן שירות נקט באמצעים סבירים אך לא השיג את מספר זהותו של הנהנה, רשאי הוא לרשום את תאריך הלידה ומין (ולגבי תאגיד </w:t>
      </w:r>
      <w:r w:rsidRPr="00BB0507">
        <w:rPr>
          <w:rFonts w:ascii="David" w:hAnsi="David"/>
          <w:rtl/>
        </w:rPr>
        <w:t>–</w:t>
      </w:r>
      <w:r w:rsidRPr="00BB0507">
        <w:rPr>
          <w:rFonts w:ascii="David" w:hAnsi="David" w:hint="cs"/>
          <w:rtl/>
        </w:rPr>
        <w:t xml:space="preserve"> תאריך התאגדות) ומענו של הנהנה</w:t>
      </w:r>
      <w:r w:rsidR="002D2B06">
        <w:rPr>
          <w:rFonts w:ascii="David" w:hAnsi="David" w:hint="cs"/>
          <w:rtl/>
        </w:rPr>
        <w:t xml:space="preserve"> וכן את מדינת האזרחות או ההתאגדות</w:t>
      </w:r>
      <w:r w:rsidRPr="00BB0507">
        <w:rPr>
          <w:rFonts w:ascii="David" w:hAnsi="David" w:hint="cs"/>
          <w:rtl/>
        </w:rPr>
        <w:t xml:space="preserve">. עם זאת, אם, בעת מתן השירות התברר לנותן השירות כי מדובר במתן שירות לטובת נהנה, ולפי הצהרת </w:t>
      </w:r>
      <w:r w:rsidR="006B1002" w:rsidRPr="00BB0507">
        <w:rPr>
          <w:rFonts w:ascii="David" w:hAnsi="David" w:hint="cs"/>
          <w:rtl/>
        </w:rPr>
        <w:t>מקב</w:t>
      </w:r>
      <w:r w:rsidR="006B1002">
        <w:rPr>
          <w:rFonts w:ascii="David" w:hAnsi="David" w:hint="cs"/>
          <w:rtl/>
        </w:rPr>
        <w:t>ל</w:t>
      </w:r>
      <w:r w:rsidR="006B1002" w:rsidRPr="00BB0507">
        <w:rPr>
          <w:rFonts w:ascii="David" w:hAnsi="David" w:hint="cs"/>
          <w:rtl/>
        </w:rPr>
        <w:t xml:space="preserve"> </w:t>
      </w:r>
      <w:r w:rsidRPr="00BB0507">
        <w:rPr>
          <w:rFonts w:ascii="David" w:hAnsi="David" w:hint="cs"/>
          <w:rtl/>
        </w:rPr>
        <w:lastRenderedPageBreak/>
        <w:t xml:space="preserve">השירות לא ניתן לדעת את זהותו, ומקבל השירות פירט את הסיבה לכך, על נותן השירות ליידע את מקבל השירות בכתב בנוגע לחובתו להעביר לנותן השירות את פרטי הנהנה הנדרשים מיד עם היוודע זהותו. </w:t>
      </w:r>
      <w:r w:rsidR="00A26F80">
        <w:rPr>
          <w:rFonts w:ascii="David" w:hAnsi="David" w:hint="cs"/>
          <w:rtl/>
        </w:rPr>
        <w:t xml:space="preserve">כמו כן, על נותן השירות לעדכן את מקבל השירות בנוגע לחובתו למסור הצהרה מעודכנת אם חל שינוי באחד הפרטים שנכללו בהצהרתו. אם ידוע לנותן השירות שחל שינוי בפרטי ההצהרה שמסר מקבל השירות, עליו לדרוש ממקבל השירות הצהרה מעודכנת. </w:t>
      </w:r>
    </w:p>
    <w:p w:rsidR="007F31D4" w:rsidRDefault="002032B1" w:rsidP="00845397">
      <w:pPr>
        <w:spacing w:line="360" w:lineRule="auto"/>
        <w:rPr>
          <w:rtl/>
        </w:rPr>
      </w:pPr>
      <w:r w:rsidRPr="00B33457">
        <w:rPr>
          <w:rFonts w:hint="cs"/>
          <w:b/>
          <w:bCs/>
          <w:rtl/>
        </w:rPr>
        <w:t>מקבל שירות שהוא תאגיד:</w:t>
      </w:r>
      <w:r>
        <w:rPr>
          <w:rFonts w:hint="cs"/>
          <w:rtl/>
        </w:rPr>
        <w:t xml:space="preserve"> כאשר מקבל השירות </w:t>
      </w:r>
      <w:r w:rsidR="001419E0">
        <w:rPr>
          <w:rFonts w:hint="cs"/>
          <w:rtl/>
        </w:rPr>
        <w:t xml:space="preserve">הקבוע </w:t>
      </w:r>
      <w:r>
        <w:rPr>
          <w:rFonts w:hint="cs"/>
          <w:rtl/>
        </w:rPr>
        <w:t>הוא תאגיד, על נותן השירות לדרוש מהתאגיד הצהרה, בחתימת מקור או באישור של עורך דין בנוגע לפרטי הזיהוי של בעלי השליטה בתאגיד</w:t>
      </w:r>
      <w:r w:rsidR="001419E0">
        <w:rPr>
          <w:rFonts w:hint="cs"/>
          <w:rtl/>
        </w:rPr>
        <w:t>,</w:t>
      </w:r>
      <w:r w:rsidR="0038541D">
        <w:rPr>
          <w:rFonts w:hint="cs"/>
          <w:rtl/>
        </w:rPr>
        <w:t xml:space="preserve"> </w:t>
      </w:r>
      <w:r w:rsidR="0038541D">
        <w:rPr>
          <w:rtl/>
        </w:rPr>
        <w:t>וכן לגבי המנהל הכללי של התאגיד או מי שמשמש בתפקיד דומה אף אם</w:t>
      </w:r>
      <w:r w:rsidR="0038541D">
        <w:rPr>
          <w:rFonts w:hint="cs"/>
          <w:rtl/>
        </w:rPr>
        <w:t xml:space="preserve"> </w:t>
      </w:r>
      <w:r w:rsidR="0038541D">
        <w:rPr>
          <w:rtl/>
        </w:rPr>
        <w:t>כינויו אחר</w:t>
      </w:r>
      <w:r w:rsidR="0038541D">
        <w:rPr>
          <w:rFonts w:hint="cs"/>
          <w:rtl/>
        </w:rPr>
        <w:t xml:space="preserve">. </w:t>
      </w:r>
    </w:p>
    <w:p w:rsidR="001419E0" w:rsidRPr="00304411" w:rsidRDefault="002032B1" w:rsidP="00845397">
      <w:pPr>
        <w:pStyle w:val="a3"/>
        <w:numPr>
          <w:ilvl w:val="0"/>
          <w:numId w:val="10"/>
        </w:numPr>
        <w:spacing w:line="360" w:lineRule="auto"/>
        <w:jc w:val="both"/>
        <w:rPr>
          <w:rFonts w:ascii="David" w:hAnsi="David" w:cs="David"/>
          <w:sz w:val="24"/>
          <w:szCs w:val="24"/>
          <w:rtl/>
        </w:rPr>
      </w:pPr>
      <w:r w:rsidRPr="00304411">
        <w:rPr>
          <w:rFonts w:ascii="David" w:hAnsi="David" w:cs="David"/>
          <w:sz w:val="24"/>
          <w:szCs w:val="24"/>
          <w:rtl/>
        </w:rPr>
        <w:t>נותן שירות ינקוט אמצעים סבירים, לפי רמת הסיכון להלבנת הון ולמימון טרור, לאימות פרטי הזיהוי של נהנה ובעל שליטה, לפי העניין. לעניין זה, "נקיטת אמצעים סבירים" - שימוש במידע הנוגע לעניין או בנתונים שהתקבלו ממקור מהימן המניחים את דעתו של נותן השירות.</w:t>
      </w:r>
    </w:p>
    <w:p w:rsidR="007F31D4" w:rsidRPr="00B54399" w:rsidRDefault="002032B1" w:rsidP="00845397">
      <w:pPr>
        <w:pStyle w:val="a3"/>
        <w:numPr>
          <w:ilvl w:val="0"/>
          <w:numId w:val="10"/>
        </w:numPr>
        <w:spacing w:line="360" w:lineRule="auto"/>
        <w:jc w:val="both"/>
        <w:rPr>
          <w:rFonts w:ascii="David" w:hAnsi="David"/>
        </w:rPr>
      </w:pPr>
      <w:r w:rsidRPr="00304411">
        <w:rPr>
          <w:rFonts w:ascii="David" w:hAnsi="David" w:cs="David"/>
          <w:sz w:val="24"/>
          <w:szCs w:val="24"/>
          <w:rtl/>
        </w:rPr>
        <w:t>נותן השירות נדרש להשתמש בנוסח הטופס שבתוספת השלישית לצו לצורך ביצוע ההצהרות ועליו לבדוק את סבירות ההצהרה</w:t>
      </w:r>
      <w:r w:rsidR="001419E0" w:rsidRPr="00304411">
        <w:rPr>
          <w:rFonts w:ascii="David" w:hAnsi="David" w:cs="David"/>
          <w:sz w:val="24"/>
          <w:szCs w:val="24"/>
          <w:rtl/>
        </w:rPr>
        <w:t xml:space="preserve"> על פניה</w:t>
      </w:r>
      <w:r w:rsidRPr="00304411">
        <w:rPr>
          <w:rFonts w:ascii="David" w:hAnsi="David" w:cs="David"/>
          <w:sz w:val="24"/>
          <w:szCs w:val="24"/>
          <w:rtl/>
        </w:rPr>
        <w:t>.</w:t>
      </w:r>
    </w:p>
    <w:p w:rsidR="00440CED" w:rsidRDefault="002032B1" w:rsidP="00845397">
      <w:pPr>
        <w:spacing w:before="240" w:line="360" w:lineRule="auto"/>
        <w:jc w:val="both"/>
        <w:rPr>
          <w:rFonts w:ascii="David" w:hAnsi="David"/>
          <w:rtl/>
        </w:rPr>
      </w:pPr>
      <w:r w:rsidRPr="00AF4B9D">
        <w:rPr>
          <w:rFonts w:hint="cs"/>
          <w:b/>
          <w:bCs/>
          <w:rtl/>
        </w:rPr>
        <w:t>פטור חלקי מהצהרה על נהנה</w:t>
      </w:r>
      <w:r>
        <w:rPr>
          <w:rFonts w:hint="cs"/>
          <w:b/>
          <w:bCs/>
          <w:rtl/>
        </w:rPr>
        <w:t>:</w:t>
      </w:r>
      <w:r>
        <w:rPr>
          <w:rFonts w:ascii="David" w:hAnsi="David" w:hint="cs"/>
          <w:rtl/>
        </w:rPr>
        <w:t xml:space="preserve"> </w:t>
      </w:r>
      <w:r w:rsidR="00244276">
        <w:rPr>
          <w:rFonts w:ascii="David" w:hAnsi="David" w:hint="cs"/>
          <w:rtl/>
        </w:rPr>
        <w:t>הצו קובע פטור</w:t>
      </w:r>
      <w:r w:rsidR="007F31D4">
        <w:rPr>
          <w:rFonts w:ascii="David" w:hAnsi="David" w:hint="cs"/>
          <w:rtl/>
        </w:rPr>
        <w:t xml:space="preserve"> </w:t>
      </w:r>
      <w:r w:rsidR="00244276">
        <w:rPr>
          <w:rFonts w:ascii="David" w:hAnsi="David" w:hint="cs"/>
          <w:rtl/>
        </w:rPr>
        <w:t xml:space="preserve">מחובת הצהרה על נהנה </w:t>
      </w:r>
      <w:r w:rsidR="007F31D4">
        <w:rPr>
          <w:rFonts w:ascii="David" w:hAnsi="David" w:hint="cs"/>
          <w:rtl/>
        </w:rPr>
        <w:t>ובעל שליטה בהצהרת מקור ב</w:t>
      </w:r>
      <w:r w:rsidR="00244276">
        <w:rPr>
          <w:rFonts w:ascii="David" w:hAnsi="David" w:hint="cs"/>
          <w:rtl/>
        </w:rPr>
        <w:t xml:space="preserve">יחס לגופים המנויים בסעיף 5א לצו: </w:t>
      </w:r>
      <w:r w:rsidR="00244276" w:rsidRPr="00E729DA">
        <w:rPr>
          <w:rFonts w:ascii="David" w:hAnsi="David"/>
          <w:rtl/>
        </w:rPr>
        <w:t>מוסד ציבורי; תאגיד בנקאי, בנק הדואר, מבטח, חבר בורסה, חברה מנהלת, קופת גמל</w:t>
      </w:r>
      <w:r w:rsidR="00244276">
        <w:rPr>
          <w:rFonts w:ascii="David" w:hAnsi="David" w:hint="cs"/>
          <w:rtl/>
        </w:rPr>
        <w:t xml:space="preserve">, </w:t>
      </w:r>
      <w:r w:rsidR="00244276" w:rsidRPr="00E729DA">
        <w:rPr>
          <w:rFonts w:ascii="David" w:hAnsi="David"/>
          <w:rtl/>
        </w:rPr>
        <w:t>מנהל תיקים, קרן, הקדש ציבורי הרשום במרשם ההקדשות הציבוריים או</w:t>
      </w:r>
      <w:r w:rsidR="00244276">
        <w:rPr>
          <w:rFonts w:ascii="David" w:hAnsi="David" w:hint="cs"/>
          <w:rtl/>
        </w:rPr>
        <w:t xml:space="preserve"> </w:t>
      </w:r>
      <w:r w:rsidR="00244276" w:rsidRPr="00E729DA">
        <w:rPr>
          <w:rFonts w:ascii="David" w:hAnsi="David"/>
          <w:rtl/>
        </w:rPr>
        <w:t>חברה בעלת רישיון זירה;</w:t>
      </w:r>
      <w:r w:rsidR="00244276">
        <w:rPr>
          <w:rFonts w:ascii="David" w:hAnsi="David" w:hint="cs"/>
          <w:rtl/>
        </w:rPr>
        <w:t xml:space="preserve"> </w:t>
      </w:r>
      <w:r w:rsidR="00244276" w:rsidRPr="00E729DA">
        <w:rPr>
          <w:rFonts w:ascii="David" w:hAnsi="David"/>
          <w:rtl/>
        </w:rPr>
        <w:t>נותן שירותים פיננסיים שחל לגביו צו מכוח סעיף 7 לחוק; חברה שניירות הערך שלה נסחרים בבורסה בישראל או בבורסה במדינה</w:t>
      </w:r>
      <w:r w:rsidR="00244276">
        <w:rPr>
          <w:rFonts w:ascii="David" w:hAnsi="David" w:hint="cs"/>
          <w:rtl/>
        </w:rPr>
        <w:t xml:space="preserve"> </w:t>
      </w:r>
      <w:r w:rsidR="00244276" w:rsidRPr="00E729DA">
        <w:rPr>
          <w:rFonts w:ascii="David" w:hAnsi="David"/>
          <w:rtl/>
        </w:rPr>
        <w:t>שהיא חברה בארגון</w:t>
      </w:r>
      <w:r w:rsidR="00244276">
        <w:rPr>
          <w:rFonts w:ascii="David" w:hAnsi="David" w:hint="cs"/>
          <w:rtl/>
        </w:rPr>
        <w:t xml:space="preserve"> </w:t>
      </w:r>
      <w:r w:rsidR="00244276">
        <w:rPr>
          <w:rFonts w:ascii="David" w:hAnsi="David" w:hint="cs"/>
        </w:rPr>
        <w:t>OECD</w:t>
      </w:r>
      <w:r w:rsidR="00244276">
        <w:rPr>
          <w:rFonts w:ascii="David" w:hAnsi="David" w:hint="cs"/>
          <w:rtl/>
        </w:rPr>
        <w:t xml:space="preserve">; </w:t>
      </w:r>
      <w:r w:rsidR="00244276" w:rsidRPr="00E729DA">
        <w:rPr>
          <w:rFonts w:ascii="David" w:hAnsi="David"/>
          <w:rtl/>
        </w:rPr>
        <w:t>תאגיד מסוג אחר שעליו הורה הממונ</w:t>
      </w:r>
      <w:r w:rsidR="00244276">
        <w:rPr>
          <w:rFonts w:ascii="David" w:hAnsi="David"/>
          <w:rtl/>
        </w:rPr>
        <w:t>ה, בהתייעצות עם הרשות המוסמכת.</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F05545">
        <w:tc>
          <w:tcPr>
            <w:tcW w:w="8296" w:type="dxa"/>
            <w:shd w:val="clear" w:color="auto" w:fill="0070C0"/>
          </w:tcPr>
          <w:p w:rsidR="00F05545" w:rsidRPr="00976621" w:rsidRDefault="002032B1" w:rsidP="00845397">
            <w:pPr>
              <w:pStyle w:val="2"/>
              <w:spacing w:line="360" w:lineRule="auto"/>
              <w:outlineLvl w:val="1"/>
              <w:rPr>
                <w:rFonts w:ascii="David" w:hAnsi="David" w:cs="David"/>
                <w:rtl/>
              </w:rPr>
            </w:pPr>
            <w:bookmarkStart w:id="6" w:name="_Toc85982154"/>
            <w:r w:rsidRPr="00976621">
              <w:rPr>
                <w:rFonts w:ascii="David" w:hAnsi="David" w:cs="David" w:hint="cs"/>
                <w:rtl/>
              </w:rPr>
              <w:t xml:space="preserve">4. זיהוי פנים אל פנים </w:t>
            </w:r>
            <w:r w:rsidRPr="00976621">
              <w:rPr>
                <w:rFonts w:ascii="David" w:hAnsi="David" w:cs="David"/>
                <w:rtl/>
              </w:rPr>
              <w:t>–</w:t>
            </w:r>
            <w:r w:rsidRPr="00976621">
              <w:rPr>
                <w:rFonts w:ascii="David" w:hAnsi="David" w:cs="David" w:hint="cs"/>
                <w:rtl/>
              </w:rPr>
              <w:t xml:space="preserve"> סעיף 6 לצו</w:t>
            </w:r>
            <w:bookmarkEnd w:id="6"/>
          </w:p>
        </w:tc>
      </w:tr>
    </w:tbl>
    <w:p w:rsidR="00D26CDB" w:rsidRDefault="002032B1" w:rsidP="00845397">
      <w:pPr>
        <w:spacing w:before="240" w:line="360" w:lineRule="auto"/>
        <w:jc w:val="both"/>
        <w:rPr>
          <w:rFonts w:ascii="David" w:hAnsi="David"/>
          <w:rtl/>
        </w:rPr>
      </w:pPr>
      <w:r>
        <w:rPr>
          <w:rFonts w:ascii="David" w:hAnsi="David" w:hint="cs"/>
          <w:rtl/>
        </w:rPr>
        <w:t xml:space="preserve">נותן שירות נדרש </w:t>
      </w:r>
      <w:r w:rsidRPr="00CC513D">
        <w:rPr>
          <w:rFonts w:ascii="David" w:hAnsi="David"/>
          <w:rtl/>
        </w:rPr>
        <w:t>לזהות מקבל שירות</w:t>
      </w:r>
      <w:r w:rsidR="00A745B3">
        <w:rPr>
          <w:rFonts w:ascii="David" w:hAnsi="David" w:hint="cs"/>
          <w:rtl/>
        </w:rPr>
        <w:t xml:space="preserve"> קבוע, זיהוי פנים אל פנים.</w:t>
      </w:r>
      <w:r>
        <w:rPr>
          <w:rFonts w:ascii="David" w:hAnsi="David" w:hint="cs"/>
          <w:rtl/>
        </w:rPr>
        <w:t xml:space="preserve"> </w:t>
      </w:r>
      <w:r w:rsidRPr="00CC513D">
        <w:rPr>
          <w:rFonts w:ascii="David" w:hAnsi="David"/>
          <w:rtl/>
        </w:rPr>
        <w:t>הזיהוי יכול להתבצע על ידי נותן השירות, מי מטעמו, עו"ד, נציג דיפלומטי או קונסולרי</w:t>
      </w:r>
      <w:r>
        <w:rPr>
          <w:rFonts w:ascii="David" w:hAnsi="David" w:hint="cs"/>
          <w:rtl/>
        </w:rPr>
        <w:t xml:space="preserve"> בחוץ לארץ</w:t>
      </w:r>
      <w:r w:rsidRPr="00CC513D">
        <w:rPr>
          <w:rFonts w:ascii="David" w:hAnsi="David"/>
          <w:rtl/>
        </w:rPr>
        <w:t xml:space="preserve">, </w:t>
      </w:r>
      <w:r w:rsidR="005B717C">
        <w:rPr>
          <w:rFonts w:ascii="David" w:hAnsi="David" w:hint="cs"/>
          <w:rtl/>
        </w:rPr>
        <w:t xml:space="preserve">או </w:t>
      </w:r>
      <w:r w:rsidRPr="00CC513D">
        <w:rPr>
          <w:rFonts w:ascii="David" w:hAnsi="David"/>
          <w:rtl/>
        </w:rPr>
        <w:t>רשות המוסמכת להוציא תעודת אפוסטיל.</w:t>
      </w:r>
      <w:r>
        <w:rPr>
          <w:rFonts w:ascii="David" w:hAnsi="David" w:hint="cs"/>
          <w:rtl/>
        </w:rPr>
        <w:t xml:space="preserve"> </w:t>
      </w:r>
    </w:p>
    <w:p w:rsidR="007F31D4" w:rsidRDefault="002032B1" w:rsidP="00845397">
      <w:pPr>
        <w:spacing w:line="360" w:lineRule="auto"/>
        <w:jc w:val="both"/>
        <w:rPr>
          <w:rFonts w:ascii="David" w:hAnsi="David"/>
          <w:rtl/>
        </w:rPr>
      </w:pPr>
      <w:r w:rsidRPr="00CC513D">
        <w:rPr>
          <w:rFonts w:ascii="David" w:hAnsi="David"/>
          <w:rtl/>
        </w:rPr>
        <w:t xml:space="preserve">על אף האמור, </w:t>
      </w:r>
      <w:r>
        <w:rPr>
          <w:rFonts w:ascii="David" w:hAnsi="David" w:hint="cs"/>
          <w:rtl/>
        </w:rPr>
        <w:t xml:space="preserve">נותן שירות רשאי </w:t>
      </w:r>
      <w:r w:rsidRPr="00CC513D">
        <w:rPr>
          <w:rFonts w:ascii="David" w:hAnsi="David"/>
          <w:rtl/>
        </w:rPr>
        <w:t>לבצע זיהוי באמצעות טכנולוגיה המאפשרת זיהוי חזותי על פי הוראות הממונה (חוזר לביצוע זיהוי מרחוק</w:t>
      </w:r>
      <w:r w:rsidR="00F4777D">
        <w:rPr>
          <w:rFonts w:ascii="David" w:hAnsi="David" w:hint="cs"/>
          <w:rtl/>
        </w:rPr>
        <w:t xml:space="preserve"> פורסם על ידי רשות שוק ההון</w:t>
      </w:r>
      <w:r w:rsidRPr="00CC513D">
        <w:rPr>
          <w:rFonts w:ascii="David" w:hAnsi="David"/>
          <w:rtl/>
        </w:rPr>
        <w:t>)</w:t>
      </w:r>
      <w:r w:rsidR="00D26CDB">
        <w:rPr>
          <w:rFonts w:ascii="David" w:hAnsi="David" w:hint="cs"/>
          <w:rtl/>
        </w:rPr>
        <w:t>.</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F05545">
        <w:tc>
          <w:tcPr>
            <w:tcW w:w="8296" w:type="dxa"/>
            <w:shd w:val="clear" w:color="auto" w:fill="0070C0"/>
          </w:tcPr>
          <w:p w:rsidR="00F05545" w:rsidRPr="00976621" w:rsidRDefault="002032B1" w:rsidP="00845397">
            <w:pPr>
              <w:pStyle w:val="2"/>
              <w:spacing w:line="360" w:lineRule="auto"/>
              <w:outlineLvl w:val="1"/>
              <w:rPr>
                <w:rtl/>
              </w:rPr>
            </w:pPr>
            <w:bookmarkStart w:id="7" w:name="_Toc85982155"/>
            <w:r w:rsidRPr="00976621">
              <w:rPr>
                <w:rFonts w:ascii="David" w:hAnsi="David" w:cs="David" w:hint="cs"/>
                <w:rtl/>
              </w:rPr>
              <w:t xml:space="preserve">5. הקלות בזיהוי פנים אל פנים במתן שירות באמצעות מערכת סגורה </w:t>
            </w:r>
            <w:r w:rsidRPr="00976621">
              <w:rPr>
                <w:rFonts w:ascii="David" w:hAnsi="David" w:cs="David"/>
                <w:rtl/>
              </w:rPr>
              <w:t>–</w:t>
            </w:r>
            <w:r w:rsidRPr="00976621">
              <w:rPr>
                <w:rFonts w:ascii="David" w:hAnsi="David" w:cs="David" w:hint="cs"/>
                <w:rtl/>
              </w:rPr>
              <w:t xml:space="preserve"> סעיף 7 לצו</w:t>
            </w:r>
            <w:bookmarkEnd w:id="7"/>
          </w:p>
        </w:tc>
      </w:tr>
    </w:tbl>
    <w:p w:rsidR="007F31D4" w:rsidRDefault="002032B1" w:rsidP="00976621">
      <w:pPr>
        <w:spacing w:before="240" w:line="360" w:lineRule="auto"/>
        <w:jc w:val="both"/>
        <w:rPr>
          <w:rFonts w:ascii="David" w:hAnsi="David"/>
          <w:rtl/>
        </w:rPr>
      </w:pPr>
      <w:r w:rsidRPr="00CC513D">
        <w:rPr>
          <w:rFonts w:ascii="David" w:hAnsi="David"/>
          <w:rtl/>
        </w:rPr>
        <w:t>הצו כולל הקלות למצבים בהם הפעילות מתבצעת במערכת סגורה ובמערכת סגורה למחצה – מצבים שבהם הכספים יוצאים מחשבון בתאגיד בנקאי, בנק הדואר או בנק זר שחל עליו משטר איסור הלבנת הון ומימון טרור</w:t>
      </w:r>
      <w:r w:rsidR="00F4777D">
        <w:rPr>
          <w:rFonts w:ascii="David" w:hAnsi="David" w:hint="cs"/>
          <w:rtl/>
        </w:rPr>
        <w:t>, וחוזרים אליו</w:t>
      </w:r>
      <w:r>
        <w:rPr>
          <w:rFonts w:ascii="David" w:hAnsi="David" w:hint="cs"/>
          <w:rtl/>
        </w:rPr>
        <w:t>.</w:t>
      </w:r>
    </w:p>
    <w:p w:rsidR="007F31D4" w:rsidRDefault="002032B1" w:rsidP="00845397">
      <w:pPr>
        <w:spacing w:line="360" w:lineRule="auto"/>
        <w:jc w:val="both"/>
        <w:rPr>
          <w:rFonts w:ascii="David" w:hAnsi="David"/>
          <w:rtl/>
        </w:rPr>
      </w:pPr>
      <w:r w:rsidRPr="00D26CDB">
        <w:rPr>
          <w:rFonts w:ascii="David" w:hAnsi="David" w:hint="cs"/>
          <w:rtl/>
        </w:rPr>
        <w:t xml:space="preserve">לעניין הוראה זו, </w:t>
      </w:r>
      <w:r w:rsidRPr="00CC513D">
        <w:rPr>
          <w:rFonts w:ascii="David" w:hAnsi="David"/>
          <w:b/>
          <w:bCs/>
          <w:rtl/>
        </w:rPr>
        <w:t>מערכת סגורה</w:t>
      </w:r>
      <w:r>
        <w:rPr>
          <w:rFonts w:ascii="David" w:hAnsi="David" w:hint="cs"/>
          <w:b/>
          <w:bCs/>
          <w:rtl/>
        </w:rPr>
        <w:t xml:space="preserve"> </w:t>
      </w:r>
      <w:r w:rsidRPr="00D26CDB">
        <w:rPr>
          <w:rFonts w:ascii="David" w:hAnsi="David" w:hint="cs"/>
          <w:rtl/>
        </w:rPr>
        <w:t xml:space="preserve">היא כאשר </w:t>
      </w:r>
      <w:r>
        <w:rPr>
          <w:rFonts w:ascii="David" w:hAnsi="David" w:hint="cs"/>
          <w:rtl/>
        </w:rPr>
        <w:t>הנכסים הפיננסיים</w:t>
      </w:r>
      <w:r>
        <w:rPr>
          <w:rFonts w:ascii="David" w:hAnsi="David"/>
          <w:rtl/>
        </w:rPr>
        <w:t xml:space="preserve"> יוצאים ונכנסים </w:t>
      </w:r>
      <w:r w:rsidRPr="00F4777D">
        <w:rPr>
          <w:rFonts w:ascii="David" w:hAnsi="David"/>
          <w:u w:val="single"/>
          <w:rtl/>
        </w:rPr>
        <w:t>אל אותו חשבון</w:t>
      </w:r>
      <w:r w:rsidR="00822FDB">
        <w:rPr>
          <w:rFonts w:ascii="David" w:hAnsi="David" w:hint="cs"/>
          <w:rtl/>
        </w:rPr>
        <w:t xml:space="preserve"> של מקבל השירות ושהנהנים בו מפורטים בהצהרת מקבל השירות, לפי סעיף 5</w:t>
      </w:r>
      <w:r>
        <w:rPr>
          <w:rFonts w:ascii="David" w:hAnsi="David" w:hint="cs"/>
          <w:rtl/>
        </w:rPr>
        <w:t>.</w:t>
      </w:r>
      <w:r w:rsidRPr="00CC513D">
        <w:rPr>
          <w:rFonts w:ascii="David" w:hAnsi="David"/>
          <w:rtl/>
        </w:rPr>
        <w:t xml:space="preserve"> </w:t>
      </w:r>
      <w:r w:rsidRPr="00CC513D">
        <w:rPr>
          <w:rFonts w:ascii="David" w:hAnsi="David"/>
          <w:b/>
          <w:bCs/>
          <w:rtl/>
        </w:rPr>
        <w:t>מערכת סגורה למחצה</w:t>
      </w:r>
      <w:r w:rsidR="009E7219">
        <w:rPr>
          <w:rFonts w:ascii="David" w:hAnsi="David" w:hint="cs"/>
          <w:b/>
          <w:bCs/>
          <w:rtl/>
        </w:rPr>
        <w:t xml:space="preserve"> </w:t>
      </w:r>
      <w:r w:rsidR="009E7219" w:rsidRPr="009E7219">
        <w:rPr>
          <w:rFonts w:ascii="David" w:hAnsi="David" w:hint="cs"/>
          <w:rtl/>
        </w:rPr>
        <w:t xml:space="preserve">היא </w:t>
      </w:r>
      <w:r>
        <w:rPr>
          <w:rFonts w:ascii="David" w:hAnsi="David" w:hint="cs"/>
          <w:rtl/>
        </w:rPr>
        <w:t xml:space="preserve">פעולה שבה </w:t>
      </w:r>
      <w:r w:rsidR="00383BCB">
        <w:rPr>
          <w:rFonts w:ascii="David" w:hAnsi="David" w:hint="cs"/>
          <w:rtl/>
        </w:rPr>
        <w:t xml:space="preserve">נכסים פיננסים שהועברו באמצעות כרטיס אשראי או כרטיס בנק המשויך </w:t>
      </w:r>
      <w:r w:rsidR="00383BCB">
        <w:rPr>
          <w:rFonts w:ascii="David" w:hAnsi="David" w:hint="cs"/>
          <w:rtl/>
        </w:rPr>
        <w:lastRenderedPageBreak/>
        <w:t xml:space="preserve">לחשבון אחר, מוחזרים </w:t>
      </w:r>
      <w:r w:rsidR="00383BCB" w:rsidRPr="00F4777D">
        <w:rPr>
          <w:rFonts w:ascii="David" w:hAnsi="David" w:hint="cs"/>
          <w:u w:val="single"/>
          <w:rtl/>
        </w:rPr>
        <w:t>לאותו מקבל השירות</w:t>
      </w:r>
      <w:r w:rsidR="00383BCB">
        <w:rPr>
          <w:rFonts w:ascii="David" w:hAnsi="David" w:hint="cs"/>
          <w:rtl/>
        </w:rPr>
        <w:t xml:space="preserve"> באמצעות כרטיס האשראי או כרטיס הבנק שממנו הועברו הנכסים מלכתחילה או לחשבון אחר, או להפך, וכן פעולה שבה נכסים פיננסיים שהועברו מחשבון אחר מוחזרים לחשבון אחר </w:t>
      </w:r>
      <w:r w:rsidR="00F4777D">
        <w:rPr>
          <w:rFonts w:ascii="David" w:hAnsi="David" w:hint="cs"/>
          <w:rtl/>
        </w:rPr>
        <w:t xml:space="preserve">של מקבל השירות </w:t>
      </w:r>
      <w:r w:rsidR="00383BCB">
        <w:rPr>
          <w:rFonts w:ascii="David" w:hAnsi="David" w:hint="cs"/>
          <w:rtl/>
        </w:rPr>
        <w:t>ולהפך.</w:t>
      </w:r>
    </w:p>
    <w:p w:rsidR="009E7219" w:rsidRPr="00A4547A" w:rsidRDefault="002032B1" w:rsidP="00845397">
      <w:pPr>
        <w:spacing w:line="360" w:lineRule="auto"/>
        <w:jc w:val="both"/>
        <w:rPr>
          <w:rFonts w:ascii="David" w:hAnsi="David"/>
          <w:rtl/>
        </w:rPr>
      </w:pPr>
      <w:r w:rsidRPr="009E7219">
        <w:rPr>
          <w:rFonts w:ascii="David" w:hAnsi="David" w:hint="cs"/>
          <w:rtl/>
        </w:rPr>
        <w:t>ה</w:t>
      </w:r>
      <w:r w:rsidR="007F31D4" w:rsidRPr="009E7219">
        <w:rPr>
          <w:rFonts w:ascii="David" w:hAnsi="David"/>
          <w:rtl/>
        </w:rPr>
        <w:t xml:space="preserve">הקלות </w:t>
      </w:r>
      <w:r w:rsidRPr="009E7219">
        <w:rPr>
          <w:rFonts w:ascii="David" w:hAnsi="David" w:hint="cs"/>
          <w:rtl/>
        </w:rPr>
        <w:t>ה</w:t>
      </w:r>
      <w:r w:rsidR="007F31D4" w:rsidRPr="009E7219">
        <w:rPr>
          <w:rFonts w:ascii="David" w:hAnsi="David"/>
          <w:rtl/>
        </w:rPr>
        <w:t>עיקריות</w:t>
      </w:r>
      <w:r w:rsidRPr="009E7219">
        <w:rPr>
          <w:rFonts w:ascii="David" w:hAnsi="David" w:hint="cs"/>
          <w:rtl/>
        </w:rPr>
        <w:t xml:space="preserve"> שניתן לקבל במסגרת זו הן</w:t>
      </w:r>
      <w:r w:rsidR="007F31D4" w:rsidRPr="00CC513D">
        <w:rPr>
          <w:rFonts w:ascii="David" w:hAnsi="David"/>
          <w:b/>
          <w:bCs/>
          <w:rtl/>
        </w:rPr>
        <w:t xml:space="preserve"> </w:t>
      </w:r>
      <w:r w:rsidR="007F31D4" w:rsidRPr="00CC513D">
        <w:rPr>
          <w:rFonts w:ascii="David" w:hAnsi="David"/>
          <w:rtl/>
        </w:rPr>
        <w:t>פטור מחובת זיהוי פנים אל פנים, אימות מול מסמכי הבנק,</w:t>
      </w:r>
      <w:r>
        <w:rPr>
          <w:rFonts w:ascii="David" w:hAnsi="David" w:hint="cs"/>
          <w:rtl/>
        </w:rPr>
        <w:t xml:space="preserve"> </w:t>
      </w:r>
      <w:r w:rsidR="00A4547A">
        <w:rPr>
          <w:rFonts w:ascii="David" w:hAnsi="David" w:hint="cs"/>
          <w:rtl/>
        </w:rPr>
        <w:t xml:space="preserve">פטור מאימות פרטי הזיהוי של מיופה כוח </w:t>
      </w:r>
      <w:r>
        <w:rPr>
          <w:rFonts w:ascii="David" w:hAnsi="David" w:hint="cs"/>
          <w:rtl/>
        </w:rPr>
        <w:t>ו</w:t>
      </w:r>
      <w:r w:rsidR="00F4777D">
        <w:rPr>
          <w:rFonts w:ascii="David" w:hAnsi="David"/>
          <w:rtl/>
        </w:rPr>
        <w:t>פטור מקבלת הצהר</w:t>
      </w:r>
      <w:r w:rsidR="00F4777D">
        <w:rPr>
          <w:rFonts w:ascii="David" w:hAnsi="David" w:hint="cs"/>
          <w:rtl/>
        </w:rPr>
        <w:t>ה בחתימת</w:t>
      </w:r>
      <w:r w:rsidR="007F31D4" w:rsidRPr="00CC513D">
        <w:rPr>
          <w:rFonts w:ascii="David" w:hAnsi="David"/>
          <w:rtl/>
        </w:rPr>
        <w:t xml:space="preserve"> מקור</w:t>
      </w:r>
      <w:r w:rsidR="007F31D4">
        <w:rPr>
          <w:rFonts w:ascii="David" w:hAnsi="David" w:hint="cs"/>
          <w:rtl/>
        </w:rPr>
        <w:t>.</w:t>
      </w:r>
      <w:r>
        <w:rPr>
          <w:rFonts w:ascii="David" w:hAnsi="David" w:hint="cs"/>
          <w:rtl/>
        </w:rPr>
        <w:t xml:space="preserve"> </w:t>
      </w:r>
      <w:r w:rsidR="00A4547A">
        <w:rPr>
          <w:rFonts w:ascii="David" w:hAnsi="David" w:hint="cs"/>
          <w:rtl/>
        </w:rPr>
        <w:t>הפטורים מפורטים בסעיף 7(ד) לצו.</w:t>
      </w:r>
    </w:p>
    <w:p w:rsidR="007F31D4" w:rsidRPr="00CC513D" w:rsidRDefault="002032B1" w:rsidP="00845397">
      <w:pPr>
        <w:spacing w:line="360" w:lineRule="auto"/>
        <w:jc w:val="both"/>
        <w:rPr>
          <w:rFonts w:ascii="David" w:hAnsi="David"/>
          <w:rtl/>
        </w:rPr>
      </w:pPr>
      <w:r w:rsidRPr="00CC513D">
        <w:rPr>
          <w:rFonts w:ascii="David" w:hAnsi="David" w:hint="cs"/>
          <w:b/>
          <w:bCs/>
          <w:rtl/>
        </w:rPr>
        <w:t>תנאי סף לקבלת ההקלה</w:t>
      </w:r>
      <w:r w:rsidRPr="00CC513D">
        <w:rPr>
          <w:rFonts w:ascii="David" w:hAnsi="David" w:hint="cs"/>
          <w:rtl/>
        </w:rPr>
        <w:t xml:space="preserve"> הוא ש</w:t>
      </w:r>
      <w:r w:rsidRPr="00CC513D">
        <w:rPr>
          <w:rFonts w:ascii="David" w:hAnsi="David"/>
          <w:rtl/>
        </w:rPr>
        <w:t xml:space="preserve">חשבון המקור וחשבון היעד חייבים להיות על שם מקבל השירות וללא נהנים נוספים (למעט </w:t>
      </w:r>
      <w:r w:rsidR="009E7219">
        <w:rPr>
          <w:rFonts w:ascii="David" w:hAnsi="David" w:hint="cs"/>
          <w:rtl/>
        </w:rPr>
        <w:t xml:space="preserve">בחשבון של </w:t>
      </w:r>
      <w:r w:rsidRPr="00CC513D">
        <w:rPr>
          <w:rFonts w:ascii="David" w:hAnsi="David"/>
          <w:rtl/>
        </w:rPr>
        <w:t>בן זוג).</w:t>
      </w:r>
      <w:r w:rsidR="009E7219">
        <w:rPr>
          <w:rFonts w:ascii="David" w:hAnsi="David" w:hint="cs"/>
          <w:rtl/>
        </w:rPr>
        <w:t xml:space="preserve"> </w:t>
      </w:r>
    </w:p>
    <w:p w:rsidR="007F31D4" w:rsidRPr="00CC513D" w:rsidRDefault="002032B1" w:rsidP="00845397">
      <w:pPr>
        <w:spacing w:line="360" w:lineRule="auto"/>
        <w:jc w:val="both"/>
        <w:rPr>
          <w:rFonts w:ascii="David" w:hAnsi="David"/>
          <w:rtl/>
        </w:rPr>
      </w:pPr>
      <w:r w:rsidRPr="00CC513D">
        <w:rPr>
          <w:rFonts w:ascii="David" w:hAnsi="David"/>
          <w:b/>
          <w:bCs/>
          <w:rtl/>
        </w:rPr>
        <w:t>תנאים עיקריים לקבלת הפטור</w:t>
      </w:r>
      <w:r w:rsidR="009E7219">
        <w:rPr>
          <w:rFonts w:ascii="David" w:hAnsi="David" w:hint="cs"/>
          <w:rtl/>
        </w:rPr>
        <w:t xml:space="preserve"> </w:t>
      </w:r>
      <w:r w:rsidR="00383BCB" w:rsidRPr="00383BCB">
        <w:rPr>
          <w:rFonts w:ascii="David" w:hAnsi="David" w:hint="cs"/>
          <w:b/>
          <w:bCs/>
          <w:rtl/>
        </w:rPr>
        <w:t xml:space="preserve">כאשר מדובר במערכת סגורה </w:t>
      </w:r>
      <w:r w:rsidR="009E7219">
        <w:rPr>
          <w:rFonts w:ascii="David" w:hAnsi="David" w:hint="cs"/>
          <w:rtl/>
        </w:rPr>
        <w:t>הם כי</w:t>
      </w:r>
      <w:r w:rsidRPr="00CC513D">
        <w:rPr>
          <w:rFonts w:ascii="David" w:hAnsi="David"/>
          <w:rtl/>
        </w:rPr>
        <w:t xml:space="preserve"> </w:t>
      </w:r>
      <w:r w:rsidR="009E7219">
        <w:rPr>
          <w:rFonts w:ascii="David" w:hAnsi="David"/>
          <w:rtl/>
        </w:rPr>
        <w:t>מקבל השירות אינו ממדינה בסיכון</w:t>
      </w:r>
      <w:r w:rsidR="009E7219">
        <w:rPr>
          <w:rFonts w:ascii="David" w:hAnsi="David" w:hint="cs"/>
          <w:rtl/>
        </w:rPr>
        <w:t xml:space="preserve"> או</w:t>
      </w:r>
      <w:r w:rsidRPr="00CC513D">
        <w:rPr>
          <w:rFonts w:ascii="David" w:hAnsi="David"/>
          <w:rtl/>
        </w:rPr>
        <w:t xml:space="preserve"> איש ציבור זר</w:t>
      </w:r>
      <w:r w:rsidR="009E7219">
        <w:rPr>
          <w:rFonts w:ascii="David" w:hAnsi="David" w:hint="cs"/>
          <w:rtl/>
        </w:rPr>
        <w:t xml:space="preserve">, </w:t>
      </w:r>
      <w:r w:rsidRPr="00CC513D">
        <w:rPr>
          <w:rFonts w:ascii="David" w:hAnsi="David"/>
          <w:rtl/>
        </w:rPr>
        <w:t xml:space="preserve">נותן השירות </w:t>
      </w:r>
      <w:r w:rsidR="009E7219">
        <w:rPr>
          <w:rFonts w:ascii="David" w:hAnsi="David" w:hint="cs"/>
          <w:rtl/>
        </w:rPr>
        <w:t>קיבל</w:t>
      </w:r>
      <w:r w:rsidRPr="00CC513D">
        <w:rPr>
          <w:rFonts w:ascii="David" w:hAnsi="David"/>
          <w:rtl/>
        </w:rPr>
        <w:t xml:space="preserve"> העתק של מסמך זיהוי </w:t>
      </w:r>
      <w:r w:rsidR="009E7219">
        <w:rPr>
          <w:rFonts w:ascii="David" w:hAnsi="David" w:hint="cs"/>
          <w:rtl/>
        </w:rPr>
        <w:t xml:space="preserve">של מקבל השירות </w:t>
      </w:r>
      <w:r w:rsidRPr="00CC513D">
        <w:rPr>
          <w:rFonts w:ascii="David" w:hAnsi="David"/>
          <w:rtl/>
        </w:rPr>
        <w:t>וכן פרטים של חשבון הבנק ומסמך רשמי של הבנק שבו הוא מתנהל</w:t>
      </w:r>
      <w:r w:rsidR="00383BCB">
        <w:rPr>
          <w:rFonts w:ascii="David" w:hAnsi="David" w:hint="cs"/>
          <w:rtl/>
        </w:rPr>
        <w:t>, הכולל את פרטי חשבון הבנק של מקבל השירות ובעליו, ובוצע אימות של זהות מקבל השירות מול מסמכי הבנק.</w:t>
      </w:r>
      <w:r w:rsidR="00A4547A">
        <w:rPr>
          <w:rFonts w:ascii="David" w:hAnsi="David" w:hint="cs"/>
          <w:rtl/>
        </w:rPr>
        <w:t xml:space="preserve"> תנאים אלו מפורטים בסעיף 7(ב) לצו.</w:t>
      </w:r>
    </w:p>
    <w:p w:rsidR="007F31D4" w:rsidRDefault="002032B1" w:rsidP="00845397">
      <w:pPr>
        <w:spacing w:line="360" w:lineRule="auto"/>
        <w:jc w:val="both"/>
        <w:rPr>
          <w:rFonts w:ascii="David" w:hAnsi="David"/>
          <w:rtl/>
        </w:rPr>
      </w:pPr>
      <w:r w:rsidRPr="00CC513D">
        <w:rPr>
          <w:rFonts w:ascii="David" w:hAnsi="David"/>
          <w:b/>
          <w:bCs/>
          <w:rtl/>
        </w:rPr>
        <w:t>תנאים עיקריים לקבלת פטור כאשר מדובר במערכת סגורה</w:t>
      </w:r>
      <w:r w:rsidR="00A4547A">
        <w:rPr>
          <w:rFonts w:ascii="David" w:hAnsi="David" w:hint="cs"/>
          <w:b/>
          <w:bCs/>
          <w:rtl/>
        </w:rPr>
        <w:t xml:space="preserve"> למחצה</w:t>
      </w:r>
      <w:r w:rsidR="00A4547A">
        <w:rPr>
          <w:rFonts w:ascii="David" w:hAnsi="David" w:hint="cs"/>
          <w:rtl/>
        </w:rPr>
        <w:t xml:space="preserve"> הם כי מקבל השירות אינו ממדינה בסיכון, נותן השירות קיבל העתק של מסמך זיהוי של מקבל השירות וכן פרטים של חשבון הבנק ומסמך רשמי של הבנק שבו הוא מתנהל, נותן השירות קיבל לידיו את פרטי החשבון האחר או את ארבע הספרות האחרונות של כרטיס האשראי או כרטיס הבנק שבאמצעותו מועברים הכספים, לפי העניין. </w:t>
      </w:r>
      <w:r w:rsidR="00A4547A">
        <w:rPr>
          <w:rFonts w:ascii="David" w:hAnsi="David"/>
          <w:rtl/>
        </w:rPr>
        <w:t>בנוסף</w:t>
      </w:r>
      <w:r w:rsidRPr="00CC513D">
        <w:rPr>
          <w:rFonts w:ascii="David" w:hAnsi="David"/>
          <w:rtl/>
        </w:rPr>
        <w:t xml:space="preserve">, נדרש </w:t>
      </w:r>
      <w:r w:rsidR="00A4547A">
        <w:rPr>
          <w:rFonts w:ascii="David" w:hAnsi="David" w:hint="cs"/>
          <w:rtl/>
        </w:rPr>
        <w:t>נותן השירות לזהות את מקבל השירות באמצעות טכנולוגיה המאפשרת זיהוי חזותי של מקבל השירות, אם הערכת הסיכון שביצע נותן השירות מעידה כי יש צורך לבצע זיהוי כאמור.</w:t>
      </w:r>
      <w:r w:rsidR="00A4547A">
        <w:rPr>
          <w:rFonts w:ascii="David" w:hAnsi="David" w:hint="cs"/>
          <w:b/>
          <w:bCs/>
          <w:rtl/>
        </w:rPr>
        <w:t xml:space="preserve"> </w:t>
      </w:r>
      <w:r w:rsidR="00A4547A">
        <w:rPr>
          <w:rFonts w:ascii="David" w:hAnsi="David" w:hint="cs"/>
          <w:rtl/>
        </w:rPr>
        <w:t xml:space="preserve">תנאים אלו מפורטים בסעיף 7(ג) לצו. </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EF6000">
        <w:tc>
          <w:tcPr>
            <w:tcW w:w="8296" w:type="dxa"/>
            <w:shd w:val="clear" w:color="auto" w:fill="0070C0"/>
          </w:tcPr>
          <w:p w:rsidR="00EF6000" w:rsidRPr="00976621" w:rsidRDefault="002032B1" w:rsidP="00845397">
            <w:pPr>
              <w:pStyle w:val="2"/>
              <w:spacing w:line="360" w:lineRule="auto"/>
              <w:outlineLvl w:val="1"/>
              <w:rPr>
                <w:rtl/>
              </w:rPr>
            </w:pPr>
            <w:bookmarkStart w:id="8" w:name="_Toc85982156"/>
            <w:r w:rsidRPr="00976621">
              <w:rPr>
                <w:rFonts w:ascii="David" w:hAnsi="David" w:cs="David"/>
                <w:rtl/>
              </w:rPr>
              <w:t>6</w:t>
            </w:r>
            <w:r w:rsidRPr="00976621">
              <w:rPr>
                <w:rFonts w:ascii="David" w:hAnsi="David" w:cs="David" w:hint="cs"/>
                <w:rtl/>
              </w:rPr>
              <w:t xml:space="preserve">. העברות אלקטרוניות והעברות של מטבע וירטואלי </w:t>
            </w:r>
            <w:r w:rsidRPr="00976621">
              <w:rPr>
                <w:rFonts w:ascii="David" w:hAnsi="David" w:cs="David"/>
                <w:rtl/>
              </w:rPr>
              <w:t>–</w:t>
            </w:r>
            <w:r w:rsidRPr="00976621">
              <w:rPr>
                <w:rFonts w:ascii="David" w:hAnsi="David" w:cs="David" w:hint="cs"/>
                <w:rtl/>
              </w:rPr>
              <w:t xml:space="preserve"> סעיף 7א לצו</w:t>
            </w:r>
            <w:bookmarkEnd w:id="8"/>
          </w:p>
        </w:tc>
      </w:tr>
    </w:tbl>
    <w:p w:rsidR="007F31D4" w:rsidRDefault="002032B1" w:rsidP="00845397">
      <w:pPr>
        <w:spacing w:before="240" w:line="360" w:lineRule="auto"/>
        <w:jc w:val="both"/>
        <w:rPr>
          <w:rFonts w:ascii="David" w:hAnsi="David"/>
          <w:rtl/>
        </w:rPr>
      </w:pPr>
      <w:r>
        <w:rPr>
          <w:rFonts w:ascii="David" w:hAnsi="David" w:hint="cs"/>
          <w:rtl/>
        </w:rPr>
        <w:t>סעיף 7א לצו הוא סעיף חדש בצו, שמטיל הוראות חדשות בנוגע לביצוע העברות אלקטרוניו</w:t>
      </w:r>
      <w:r>
        <w:rPr>
          <w:rFonts w:ascii="David" w:hAnsi="David" w:hint="eastAsia"/>
          <w:rtl/>
        </w:rPr>
        <w:t>ת</w:t>
      </w:r>
      <w:r>
        <w:rPr>
          <w:rFonts w:ascii="David" w:hAnsi="David" w:hint="cs"/>
          <w:rtl/>
        </w:rPr>
        <w:t>. בנוסף, בהתאם לתיקון המלצה 15 של הסטנדרטים הבינלאומיים</w:t>
      </w:r>
      <w:r w:rsidR="00EA326E">
        <w:rPr>
          <w:rFonts w:ascii="David" w:hAnsi="David" w:hint="cs"/>
          <w:rtl/>
        </w:rPr>
        <w:t xml:space="preserve"> של ארגון ה-</w:t>
      </w:r>
      <w:r w:rsidR="00EA326E">
        <w:rPr>
          <w:rFonts w:ascii="David" w:hAnsi="David" w:hint="cs"/>
        </w:rPr>
        <w:t>FATF</w:t>
      </w:r>
      <w:r>
        <w:rPr>
          <w:rFonts w:ascii="David" w:hAnsi="David" w:hint="cs"/>
          <w:rtl/>
        </w:rPr>
        <w:t xml:space="preserve">, נוספו הוראות חדשות בנוגע להעברות של נכסים וירטואליים. בהתאם להוראות אלו, קיימת חובה לקבל, להעביר ולשמור את פרטי הזיהוי בנוגע </w:t>
      </w:r>
      <w:r w:rsidR="00EA326E">
        <w:rPr>
          <w:rFonts w:ascii="David" w:hAnsi="David" w:hint="cs"/>
          <w:rtl/>
        </w:rPr>
        <w:t>ל</w:t>
      </w:r>
      <w:r>
        <w:rPr>
          <w:rFonts w:ascii="David" w:hAnsi="David" w:hint="cs"/>
          <w:rtl/>
        </w:rPr>
        <w:t>מעביר ו</w:t>
      </w:r>
      <w:r w:rsidR="00EA326E">
        <w:rPr>
          <w:rFonts w:ascii="David" w:hAnsi="David" w:hint="cs"/>
          <w:rtl/>
        </w:rPr>
        <w:t>ל</w:t>
      </w:r>
      <w:r>
        <w:rPr>
          <w:rFonts w:ascii="David" w:hAnsi="David" w:hint="cs"/>
          <w:rtl/>
        </w:rPr>
        <w:t>מקבל ההעברה, לאורך כל שרשרת ביצוע התשלום. ניתן גם להעביר את הפרטים באופן מי</w:t>
      </w:r>
      <w:r w:rsidR="00EA326E">
        <w:rPr>
          <w:rFonts w:ascii="David" w:hAnsi="David" w:hint="cs"/>
          <w:rtl/>
        </w:rPr>
        <w:t>י</w:t>
      </w:r>
      <w:r>
        <w:rPr>
          <w:rFonts w:ascii="David" w:hAnsi="David" w:hint="cs"/>
          <w:rtl/>
        </w:rPr>
        <w:t>די ומאובטח גם במערכת מקבילה הקיימת אצל נותן השירות. משום שטרם פותחו ואושרו פתרונות טכנולוגיים מתאימים לצורך החובה להעברה מיידית של הפרטים</w:t>
      </w:r>
      <w:r w:rsidR="00E33900">
        <w:rPr>
          <w:rFonts w:ascii="David" w:hAnsi="David" w:hint="cs"/>
          <w:rtl/>
        </w:rPr>
        <w:t xml:space="preserve"> בהעברות  מטבע וירטואלי</w:t>
      </w:r>
      <w:r>
        <w:rPr>
          <w:rFonts w:ascii="David" w:hAnsi="David" w:hint="cs"/>
          <w:rtl/>
        </w:rPr>
        <w:t xml:space="preserve">, חובה זו לא תיכנס לתוקף עם כניסתו לתוקף של הצו אלא שלב מאוחר יותר. </w:t>
      </w:r>
    </w:p>
    <w:p w:rsidR="007F31D4" w:rsidRDefault="002032B1" w:rsidP="00845397">
      <w:pPr>
        <w:spacing w:line="360" w:lineRule="auto"/>
        <w:jc w:val="both"/>
        <w:rPr>
          <w:rFonts w:ascii="David" w:hAnsi="David"/>
          <w:rtl/>
        </w:rPr>
      </w:pPr>
      <w:r w:rsidRPr="00696626">
        <w:rPr>
          <w:rFonts w:ascii="David" w:hAnsi="David" w:hint="cs"/>
          <w:b/>
          <w:bCs/>
          <w:rtl/>
        </w:rPr>
        <w:t>העברות אלקטרוניות אל מחוץ לישראל:</w:t>
      </w:r>
      <w:r>
        <w:rPr>
          <w:rFonts w:ascii="David" w:hAnsi="David" w:hint="cs"/>
          <w:b/>
          <w:bCs/>
          <w:rtl/>
        </w:rPr>
        <w:t xml:space="preserve"> </w:t>
      </w:r>
      <w:r w:rsidRPr="00696626">
        <w:rPr>
          <w:rFonts w:ascii="David" w:hAnsi="David"/>
          <w:rtl/>
        </w:rPr>
        <w:t xml:space="preserve">בהעברות אל מחוץ לישראל </w:t>
      </w:r>
      <w:r>
        <w:rPr>
          <w:rFonts w:ascii="David" w:hAnsi="David" w:hint="cs"/>
          <w:rtl/>
        </w:rPr>
        <w:t xml:space="preserve">מעל סך של 5,000 ש"ח, </w:t>
      </w:r>
      <w:r w:rsidRPr="00696626">
        <w:rPr>
          <w:rFonts w:ascii="David" w:hAnsi="David"/>
          <w:rtl/>
        </w:rPr>
        <w:t xml:space="preserve">על </w:t>
      </w:r>
      <w:r>
        <w:rPr>
          <w:rFonts w:ascii="David" w:hAnsi="David" w:hint="cs"/>
          <w:rtl/>
        </w:rPr>
        <w:t xml:space="preserve">נותן השירות </w:t>
      </w:r>
      <w:r w:rsidRPr="00696626">
        <w:rPr>
          <w:rFonts w:ascii="David" w:hAnsi="David"/>
          <w:rtl/>
        </w:rPr>
        <w:t>המעביר לרשום במסמכי ההעברה פרטים מאומתים של המעביר (שם, מספר זהות, מען ומספר חשבון) ופרטים של הנעבר (שם ומספר חשבון) כפי שנמסרו</w:t>
      </w:r>
      <w:r>
        <w:rPr>
          <w:rFonts w:ascii="David" w:hAnsi="David" w:hint="cs"/>
          <w:rtl/>
        </w:rPr>
        <w:t>.</w:t>
      </w:r>
    </w:p>
    <w:p w:rsidR="007F31D4" w:rsidRDefault="002032B1" w:rsidP="00845397">
      <w:pPr>
        <w:spacing w:line="360" w:lineRule="auto"/>
        <w:jc w:val="both"/>
        <w:rPr>
          <w:rFonts w:ascii="David" w:hAnsi="David"/>
          <w:rtl/>
        </w:rPr>
      </w:pPr>
      <w:r w:rsidRPr="00696626">
        <w:rPr>
          <w:rFonts w:ascii="David" w:hAnsi="David" w:hint="cs"/>
          <w:b/>
          <w:bCs/>
          <w:rtl/>
        </w:rPr>
        <w:lastRenderedPageBreak/>
        <w:t>העברות בתוך ישראל:</w:t>
      </w:r>
      <w:r>
        <w:rPr>
          <w:rFonts w:ascii="David" w:hAnsi="David" w:hint="cs"/>
          <w:rtl/>
        </w:rPr>
        <w:t xml:space="preserve"> </w:t>
      </w:r>
      <w:r w:rsidRPr="00696626">
        <w:rPr>
          <w:rFonts w:ascii="David" w:hAnsi="David"/>
          <w:rtl/>
        </w:rPr>
        <w:t xml:space="preserve">בהעברות בתוך ישראל </w:t>
      </w:r>
      <w:r>
        <w:rPr>
          <w:rFonts w:ascii="David" w:hAnsi="David" w:hint="cs"/>
          <w:rtl/>
        </w:rPr>
        <w:t xml:space="preserve">מעל סך של 5,000 ש"ח, </w:t>
      </w:r>
      <w:r w:rsidRPr="00696626">
        <w:rPr>
          <w:rFonts w:ascii="David" w:hAnsi="David"/>
          <w:rtl/>
        </w:rPr>
        <w:t xml:space="preserve">על </w:t>
      </w:r>
      <w:r>
        <w:rPr>
          <w:rFonts w:ascii="David" w:hAnsi="David" w:hint="cs"/>
          <w:rtl/>
        </w:rPr>
        <w:t xml:space="preserve">נותן השירות </w:t>
      </w:r>
      <w:r w:rsidRPr="00696626">
        <w:rPr>
          <w:rFonts w:ascii="David" w:hAnsi="David"/>
          <w:rtl/>
        </w:rPr>
        <w:t>המעביר לרשום את פרטי המעביר</w:t>
      </w:r>
      <w:r>
        <w:rPr>
          <w:rFonts w:ascii="David" w:hAnsi="David" w:hint="cs"/>
          <w:rtl/>
        </w:rPr>
        <w:t>(שם, מספר זהות, מען ומספר חשבון)</w:t>
      </w:r>
      <w:r w:rsidRPr="00696626">
        <w:rPr>
          <w:rFonts w:ascii="David" w:hAnsi="David"/>
          <w:rtl/>
        </w:rPr>
        <w:t xml:space="preserve"> כפי שנמסרו</w:t>
      </w:r>
      <w:r>
        <w:rPr>
          <w:rFonts w:ascii="David" w:hAnsi="David" w:hint="cs"/>
          <w:rtl/>
        </w:rPr>
        <w:t>.</w:t>
      </w:r>
    </w:p>
    <w:p w:rsidR="007F31D4" w:rsidRDefault="002032B1" w:rsidP="00845397">
      <w:pPr>
        <w:spacing w:line="360" w:lineRule="auto"/>
        <w:jc w:val="both"/>
        <w:rPr>
          <w:rFonts w:ascii="David" w:hAnsi="David"/>
          <w:rtl/>
        </w:rPr>
      </w:pPr>
      <w:r w:rsidRPr="00696626">
        <w:rPr>
          <w:rFonts w:ascii="David" w:hAnsi="David" w:hint="cs"/>
          <w:b/>
          <w:bCs/>
          <w:rtl/>
        </w:rPr>
        <w:t>קבלת העברה מחוץ לישראל:</w:t>
      </w:r>
      <w:r>
        <w:rPr>
          <w:rFonts w:ascii="David" w:hAnsi="David" w:hint="cs"/>
        </w:rPr>
        <w:t xml:space="preserve"> </w:t>
      </w:r>
      <w:r>
        <w:rPr>
          <w:rFonts w:ascii="David" w:hAnsi="David" w:hint="cs"/>
          <w:rtl/>
        </w:rPr>
        <w:t xml:space="preserve"> </w:t>
      </w:r>
      <w:r w:rsidRPr="00696626">
        <w:rPr>
          <w:rFonts w:ascii="David" w:hAnsi="David"/>
          <w:rtl/>
        </w:rPr>
        <w:t>בקבלת העברה מחוץ לישראל</w:t>
      </w:r>
      <w:r>
        <w:rPr>
          <w:rFonts w:ascii="David" w:hAnsi="David" w:hint="cs"/>
          <w:rtl/>
        </w:rPr>
        <w:t xml:space="preserve"> מעל סך של 5,000 ש"ח</w:t>
      </w:r>
      <w:r w:rsidRPr="00696626">
        <w:rPr>
          <w:rFonts w:ascii="David" w:hAnsi="David"/>
          <w:rtl/>
        </w:rPr>
        <w:t>, על מקבל ההעברה ל</w:t>
      </w:r>
      <w:r>
        <w:rPr>
          <w:rFonts w:ascii="David" w:hAnsi="David" w:hint="cs"/>
          <w:rtl/>
        </w:rPr>
        <w:t>אמת</w:t>
      </w:r>
      <w:r w:rsidRPr="00696626">
        <w:rPr>
          <w:rFonts w:ascii="David" w:hAnsi="David"/>
          <w:rtl/>
        </w:rPr>
        <w:t xml:space="preserve"> את שם הנעבר ומספר זהותו</w:t>
      </w:r>
      <w:r>
        <w:rPr>
          <w:rFonts w:ascii="David" w:hAnsi="David" w:hint="cs"/>
          <w:rtl/>
        </w:rPr>
        <w:t>.</w:t>
      </w:r>
    </w:p>
    <w:p w:rsidR="007F31D4" w:rsidRDefault="002032B1" w:rsidP="00845397">
      <w:pPr>
        <w:spacing w:line="360" w:lineRule="auto"/>
        <w:jc w:val="both"/>
        <w:rPr>
          <w:rFonts w:ascii="David" w:hAnsi="David"/>
          <w:rtl/>
        </w:rPr>
      </w:pPr>
      <w:r w:rsidRPr="00696626">
        <w:rPr>
          <w:rFonts w:ascii="David" w:hAnsi="David" w:hint="cs"/>
          <w:b/>
          <w:bCs/>
          <w:rtl/>
        </w:rPr>
        <w:t>העברות של מטבע וירטואלי:</w:t>
      </w:r>
      <w:r>
        <w:rPr>
          <w:rFonts w:ascii="David" w:hAnsi="David" w:hint="cs"/>
        </w:rPr>
        <w:t xml:space="preserve"> </w:t>
      </w:r>
      <w:r>
        <w:rPr>
          <w:rFonts w:ascii="David" w:hAnsi="David" w:hint="cs"/>
          <w:rtl/>
        </w:rPr>
        <w:t>כ</w:t>
      </w:r>
      <w:r w:rsidR="00EA326E">
        <w:rPr>
          <w:rFonts w:ascii="David" w:hAnsi="David" w:hint="cs"/>
          <w:rtl/>
        </w:rPr>
        <w:t xml:space="preserve">ל העברה של מטבע וירטואלי נחשבת </w:t>
      </w:r>
      <w:r>
        <w:rPr>
          <w:rFonts w:ascii="David" w:hAnsi="David" w:hint="cs"/>
          <w:rtl/>
        </w:rPr>
        <w:t xml:space="preserve">העברה בינלאומית. </w:t>
      </w:r>
      <w:r w:rsidR="00506E41">
        <w:rPr>
          <w:rFonts w:ascii="David" w:hAnsi="David" w:hint="cs"/>
          <w:rtl/>
        </w:rPr>
        <w:t xml:space="preserve">מטבע וירטואלי הוא </w:t>
      </w:r>
      <w:r w:rsidR="00506E41" w:rsidRPr="00D143D7">
        <w:rPr>
          <w:rtl/>
        </w:rPr>
        <w:t xml:space="preserve">יחידת ערך דיגיטלית שניתן לסחור בה או להעבירה </w:t>
      </w:r>
      <w:r w:rsidR="00506E41" w:rsidRPr="00D143D7">
        <w:rPr>
          <w:rFonts w:hint="cs"/>
          <w:rtl/>
        </w:rPr>
        <w:t>ב</w:t>
      </w:r>
      <w:r w:rsidR="00506E41" w:rsidRPr="00D143D7">
        <w:rPr>
          <w:rtl/>
        </w:rPr>
        <w:t>אופן דיגיטלי</w:t>
      </w:r>
      <w:r w:rsidR="00506E41" w:rsidRPr="00D143D7">
        <w:rPr>
          <w:rFonts w:hint="cs"/>
          <w:rtl/>
        </w:rPr>
        <w:t xml:space="preserve"> </w:t>
      </w:r>
      <w:r w:rsidR="00506E41" w:rsidRPr="00D143D7">
        <w:rPr>
          <w:rtl/>
        </w:rPr>
        <w:t>ולהשתמ</w:t>
      </w:r>
      <w:r w:rsidR="00506E41">
        <w:rPr>
          <w:rtl/>
        </w:rPr>
        <w:t>ש בה לצורכי תשלום או השקעה</w:t>
      </w:r>
      <w:r w:rsidR="00506E41">
        <w:rPr>
          <w:rFonts w:hint="cs"/>
          <w:rtl/>
        </w:rPr>
        <w:t>.</w:t>
      </w:r>
    </w:p>
    <w:p w:rsidR="007F31D4" w:rsidRDefault="002032B1" w:rsidP="00845397">
      <w:pPr>
        <w:spacing w:line="360" w:lineRule="auto"/>
        <w:jc w:val="both"/>
        <w:rPr>
          <w:rFonts w:ascii="David" w:hAnsi="David"/>
          <w:rtl/>
        </w:rPr>
      </w:pPr>
      <w:r w:rsidRPr="00696626">
        <w:rPr>
          <w:rFonts w:ascii="David" w:hAnsi="David"/>
          <w:rtl/>
        </w:rPr>
        <w:t xml:space="preserve">בהעברות של מטבע וירטואלי יש לרשום במסמכי ההעברה </w:t>
      </w:r>
      <w:r>
        <w:rPr>
          <w:rFonts w:ascii="David" w:hAnsi="David" w:hint="cs"/>
          <w:rtl/>
        </w:rPr>
        <w:t xml:space="preserve">את </w:t>
      </w:r>
      <w:r w:rsidR="00506E41">
        <w:rPr>
          <w:rFonts w:ascii="David" w:hAnsi="David" w:hint="cs"/>
          <w:rtl/>
        </w:rPr>
        <w:t>פרטי המעביר</w:t>
      </w:r>
      <w:r w:rsidRPr="00696626">
        <w:rPr>
          <w:rFonts w:ascii="David" w:hAnsi="David"/>
          <w:rtl/>
        </w:rPr>
        <w:t xml:space="preserve"> (שם, מספר זהות, מען ומספר חשבון)</w:t>
      </w:r>
      <w:r w:rsidR="00506E41">
        <w:rPr>
          <w:rFonts w:ascii="David" w:hAnsi="David" w:hint="cs"/>
          <w:rtl/>
        </w:rPr>
        <w:t xml:space="preserve">, פרטי הנעבר </w:t>
      </w:r>
      <w:r w:rsidRPr="00696626">
        <w:rPr>
          <w:rFonts w:ascii="David" w:hAnsi="David"/>
          <w:rtl/>
        </w:rPr>
        <w:t>(שם ומספר חשבון) כפי שנמסרו</w:t>
      </w:r>
      <w:r w:rsidR="00EA326E">
        <w:rPr>
          <w:rFonts w:ascii="David" w:hAnsi="David" w:hint="cs"/>
          <w:rtl/>
        </w:rPr>
        <w:t>,</w:t>
      </w:r>
      <w:r w:rsidR="00506E41">
        <w:rPr>
          <w:rFonts w:ascii="David" w:hAnsi="David" w:hint="cs"/>
          <w:rtl/>
        </w:rPr>
        <w:t xml:space="preserve"> ואת </w:t>
      </w:r>
      <w:r w:rsidRPr="00696626">
        <w:rPr>
          <w:rFonts w:ascii="David" w:hAnsi="David"/>
          <w:rtl/>
        </w:rPr>
        <w:t xml:space="preserve">כתובות הארנקים של המטבעות </w:t>
      </w:r>
      <w:r w:rsidRPr="00696626">
        <w:rPr>
          <w:rFonts w:ascii="David" w:hAnsi="David" w:hint="cs"/>
          <w:rtl/>
        </w:rPr>
        <w:t>הווירטואליי</w:t>
      </w:r>
      <w:r w:rsidRPr="00696626">
        <w:rPr>
          <w:rFonts w:ascii="David" w:hAnsi="David" w:hint="eastAsia"/>
          <w:rtl/>
        </w:rPr>
        <w:t>ם</w:t>
      </w:r>
      <w:r w:rsidRPr="00696626">
        <w:rPr>
          <w:rFonts w:ascii="David" w:hAnsi="David"/>
          <w:rtl/>
        </w:rPr>
        <w:t xml:space="preserve"> המעורבים בפעולה.</w:t>
      </w:r>
    </w:p>
    <w:p w:rsidR="00506E41" w:rsidRDefault="002032B1" w:rsidP="00845397">
      <w:pPr>
        <w:spacing w:line="360" w:lineRule="auto"/>
        <w:jc w:val="both"/>
        <w:rPr>
          <w:rFonts w:ascii="David" w:hAnsi="David"/>
          <w:rtl/>
        </w:rPr>
      </w:pPr>
      <w:r>
        <w:rPr>
          <w:rFonts w:hint="cs"/>
          <w:rtl/>
        </w:rPr>
        <w:t xml:space="preserve">הצו מגדיר כי </w:t>
      </w:r>
      <w:r w:rsidRPr="00506E41">
        <w:rPr>
          <w:rFonts w:hint="cs"/>
          <w:rtl/>
        </w:rPr>
        <w:t>כתובת ארנק של מטבע וירטואלי</w:t>
      </w:r>
      <w:r>
        <w:rPr>
          <w:rFonts w:hint="cs"/>
          <w:rtl/>
        </w:rPr>
        <w:t xml:space="preserve"> היא </w:t>
      </w:r>
      <w:r w:rsidRPr="00506E41">
        <w:rPr>
          <w:rtl/>
        </w:rPr>
        <w:t>מחרוזת</w:t>
      </w:r>
      <w:r w:rsidRPr="00AA021D">
        <w:rPr>
          <w:rtl/>
        </w:rPr>
        <w:t xml:space="preserve"> תווים שמציינת מחזיק מטבע וירטואלי, המשמשת את נותן השירות במסגרת ביצוע פעולה</w:t>
      </w:r>
      <w:r>
        <w:rPr>
          <w:rFonts w:hint="cs"/>
          <w:rtl/>
        </w:rPr>
        <w:t>.</w:t>
      </w:r>
    </w:p>
    <w:p w:rsidR="007F31D4" w:rsidRPr="00696626" w:rsidRDefault="002032B1" w:rsidP="00845397">
      <w:pPr>
        <w:spacing w:line="360" w:lineRule="auto"/>
        <w:jc w:val="both"/>
        <w:rPr>
          <w:rFonts w:ascii="David" w:hAnsi="David"/>
          <w:rtl/>
        </w:rPr>
      </w:pPr>
      <w:r>
        <w:rPr>
          <w:rFonts w:ascii="David" w:hAnsi="David" w:hint="cs"/>
          <w:rtl/>
        </w:rPr>
        <w:t>בביצוע העברה, נותן השירות נדרש לאמת את פרטי המעביר, ו</w:t>
      </w:r>
      <w:r w:rsidR="00EA326E">
        <w:rPr>
          <w:rFonts w:ascii="David" w:hAnsi="David" w:hint="cs"/>
          <w:rtl/>
        </w:rPr>
        <w:t>ב</w:t>
      </w:r>
      <w:r>
        <w:rPr>
          <w:rFonts w:ascii="David" w:hAnsi="David" w:hint="cs"/>
          <w:rtl/>
        </w:rPr>
        <w:t xml:space="preserve">קבלת העברה נותן השירות נדרש לאמת את פרטי מקבל ההעברה. </w:t>
      </w:r>
      <w:r w:rsidR="00506E41">
        <w:rPr>
          <w:rFonts w:ascii="David" w:hAnsi="David" w:hint="cs"/>
          <w:rtl/>
        </w:rPr>
        <w:t>בנוסף</w:t>
      </w:r>
      <w:r w:rsidR="00EA326E">
        <w:rPr>
          <w:rFonts w:ascii="David" w:hAnsi="David" w:hint="cs"/>
          <w:rtl/>
        </w:rPr>
        <w:t>,</w:t>
      </w:r>
      <w:r w:rsidR="00506E41">
        <w:rPr>
          <w:rFonts w:ascii="David" w:hAnsi="David" w:hint="cs"/>
          <w:rtl/>
        </w:rPr>
        <w:t xml:space="preserve"> </w:t>
      </w:r>
      <w:r>
        <w:rPr>
          <w:rFonts w:ascii="David" w:hAnsi="David" w:hint="cs"/>
          <w:rtl/>
        </w:rPr>
        <w:t>על נותן השירות ל</w:t>
      </w:r>
      <w:r>
        <w:rPr>
          <w:rFonts w:ascii="David" w:hAnsi="David"/>
          <w:rtl/>
        </w:rPr>
        <w:t>העב</w:t>
      </w:r>
      <w:r>
        <w:rPr>
          <w:rFonts w:ascii="David" w:hAnsi="David" w:hint="cs"/>
          <w:rtl/>
        </w:rPr>
        <w:t>י</w:t>
      </w:r>
      <w:r>
        <w:rPr>
          <w:rFonts w:ascii="David" w:hAnsi="David"/>
          <w:rtl/>
        </w:rPr>
        <w:t>ר</w:t>
      </w:r>
      <w:r>
        <w:rPr>
          <w:rFonts w:ascii="David" w:hAnsi="David" w:hint="cs"/>
          <w:rtl/>
        </w:rPr>
        <w:t xml:space="preserve"> את הפרטים</w:t>
      </w:r>
      <w:r w:rsidRPr="00696626">
        <w:rPr>
          <w:rFonts w:ascii="David" w:hAnsi="David"/>
          <w:rtl/>
        </w:rPr>
        <w:t xml:space="preserve"> </w:t>
      </w:r>
      <w:r>
        <w:rPr>
          <w:rFonts w:ascii="David" w:hAnsi="David" w:hint="cs"/>
          <w:rtl/>
        </w:rPr>
        <w:t>ב</w:t>
      </w:r>
      <w:r w:rsidRPr="00696626">
        <w:rPr>
          <w:rFonts w:ascii="David" w:hAnsi="David"/>
          <w:rtl/>
        </w:rPr>
        <w:t>אופן מיידי ומאובטח לגורם הנגדי</w:t>
      </w:r>
      <w:r>
        <w:rPr>
          <w:rFonts w:ascii="David" w:hAnsi="David" w:hint="cs"/>
          <w:rtl/>
        </w:rPr>
        <w:t>.</w:t>
      </w:r>
      <w:r w:rsidR="00506E41">
        <w:rPr>
          <w:rFonts w:ascii="David" w:hAnsi="David" w:hint="cs"/>
          <w:rtl/>
        </w:rPr>
        <w:t xml:space="preserve"> כאמור, משום שטרם פותחו ואושרו פתרונות טכנולוגיים מתאימים לצורך החובה להעברה מיידית של הפרטים, חובה זו לא תיכנס לתוקף עם כניסתו לתוקף של הצו אלא </w:t>
      </w:r>
      <w:r w:rsidR="00EA326E">
        <w:rPr>
          <w:rFonts w:ascii="David" w:hAnsi="David" w:hint="cs"/>
          <w:rtl/>
        </w:rPr>
        <w:t>ב</w:t>
      </w:r>
      <w:r w:rsidR="00506E41">
        <w:rPr>
          <w:rFonts w:ascii="David" w:hAnsi="David" w:hint="cs"/>
          <w:rtl/>
        </w:rPr>
        <w:t>שלב מאוחר יותר</w:t>
      </w:r>
      <w:r w:rsidR="00EA326E">
        <w:rPr>
          <w:rFonts w:ascii="David" w:hAnsi="David" w:hint="cs"/>
          <w:rtl/>
        </w:rPr>
        <w:t xml:space="preserve"> שיקבע הממונה</w:t>
      </w:r>
      <w:r w:rsidR="00506E41">
        <w:rPr>
          <w:rFonts w:ascii="David" w:hAnsi="David" w:hint="cs"/>
          <w:rtl/>
        </w:rPr>
        <w:t>.</w:t>
      </w:r>
    </w:p>
    <w:p w:rsidR="007F31D4" w:rsidRDefault="002032B1" w:rsidP="00845397">
      <w:pPr>
        <w:spacing w:line="360" w:lineRule="auto"/>
        <w:jc w:val="both"/>
        <w:rPr>
          <w:rFonts w:ascii="David" w:hAnsi="David"/>
          <w:rtl/>
        </w:rPr>
      </w:pPr>
      <w:r w:rsidRPr="00F4777D">
        <w:rPr>
          <w:rFonts w:ascii="David" w:hAnsi="David" w:hint="cs"/>
          <w:b/>
          <w:bCs/>
          <w:rtl/>
        </w:rPr>
        <w:t xml:space="preserve">במצב שבו נותן השירות הוא </w:t>
      </w:r>
      <w:r w:rsidRPr="00F4777D">
        <w:rPr>
          <w:rFonts w:ascii="David" w:hAnsi="David"/>
          <w:b/>
          <w:bCs/>
          <w:rtl/>
        </w:rPr>
        <w:t>גורם מתווך</w:t>
      </w:r>
      <w:r w:rsidR="00506E41">
        <w:rPr>
          <w:rFonts w:ascii="David" w:hAnsi="David" w:hint="cs"/>
          <w:rtl/>
        </w:rPr>
        <w:t xml:space="preserve"> </w:t>
      </w:r>
      <w:r>
        <w:rPr>
          <w:rFonts w:ascii="David" w:hAnsi="David" w:hint="cs"/>
          <w:rtl/>
        </w:rPr>
        <w:t xml:space="preserve">- כאשר </w:t>
      </w:r>
      <w:r w:rsidR="00506E41">
        <w:rPr>
          <w:rFonts w:ascii="David" w:hAnsi="David" w:hint="cs"/>
          <w:rtl/>
        </w:rPr>
        <w:t xml:space="preserve">נותן </w:t>
      </w:r>
      <w:r>
        <w:rPr>
          <w:rFonts w:ascii="David" w:hAnsi="David" w:hint="cs"/>
          <w:rtl/>
        </w:rPr>
        <w:t xml:space="preserve">שירות </w:t>
      </w:r>
      <w:r w:rsidR="00506E41">
        <w:rPr>
          <w:rFonts w:ascii="David" w:hAnsi="David" w:hint="cs"/>
          <w:rtl/>
        </w:rPr>
        <w:t xml:space="preserve">מקבל העברה אלקטרונית מחוץ לישראל שנועדה למקבל שירות שהוא מוסד פיננסי אחר - </w:t>
      </w:r>
      <w:r w:rsidRPr="00696626">
        <w:rPr>
          <w:rFonts w:ascii="David" w:hAnsi="David"/>
          <w:rtl/>
        </w:rPr>
        <w:t xml:space="preserve"> </w:t>
      </w:r>
      <w:r>
        <w:rPr>
          <w:rFonts w:ascii="David" w:hAnsi="David" w:hint="cs"/>
          <w:rtl/>
        </w:rPr>
        <w:t>נותן השירות (המתווך) נדרש</w:t>
      </w:r>
      <w:r w:rsidRPr="00696626">
        <w:rPr>
          <w:rFonts w:ascii="David" w:hAnsi="David"/>
          <w:rtl/>
        </w:rPr>
        <w:t xml:space="preserve"> לוודא </w:t>
      </w:r>
      <w:r>
        <w:rPr>
          <w:rFonts w:ascii="David" w:hAnsi="David" w:hint="cs"/>
          <w:rtl/>
        </w:rPr>
        <w:t>ש</w:t>
      </w:r>
      <w:r w:rsidRPr="00696626">
        <w:rPr>
          <w:rFonts w:ascii="David" w:hAnsi="David"/>
          <w:rtl/>
        </w:rPr>
        <w:t>הפרטים עוברים לגורם המקבל</w:t>
      </w:r>
      <w:r w:rsidR="00506E41">
        <w:rPr>
          <w:rFonts w:ascii="David" w:hAnsi="David" w:hint="cs"/>
          <w:rtl/>
        </w:rPr>
        <w:t xml:space="preserve"> את ההעברה</w:t>
      </w:r>
      <w:r>
        <w:rPr>
          <w:rFonts w:ascii="David" w:hAnsi="David" w:hint="cs"/>
          <w:rtl/>
        </w:rPr>
        <w:t>.</w:t>
      </w:r>
      <w:r w:rsidRPr="00696626">
        <w:rPr>
          <w:rFonts w:ascii="David" w:hAnsi="David"/>
          <w:rtl/>
        </w:rPr>
        <w:t xml:space="preserve"> אם </w:t>
      </w:r>
      <w:r>
        <w:rPr>
          <w:rFonts w:ascii="David" w:hAnsi="David" w:hint="cs"/>
          <w:rtl/>
        </w:rPr>
        <w:t xml:space="preserve">הדבר אינו </w:t>
      </w:r>
      <w:r w:rsidRPr="00696626">
        <w:rPr>
          <w:rFonts w:ascii="David" w:hAnsi="David"/>
          <w:rtl/>
        </w:rPr>
        <w:t xml:space="preserve">אפשרי </w:t>
      </w:r>
      <w:r>
        <w:rPr>
          <w:rFonts w:ascii="David" w:hAnsi="David" w:hint="cs"/>
          <w:rtl/>
        </w:rPr>
        <w:t xml:space="preserve">המתווך </w:t>
      </w:r>
      <w:r w:rsidR="00506E41">
        <w:rPr>
          <w:rFonts w:ascii="David" w:hAnsi="David" w:hint="cs"/>
          <w:rtl/>
        </w:rPr>
        <w:t xml:space="preserve">נדרש </w:t>
      </w:r>
      <w:r>
        <w:rPr>
          <w:rFonts w:ascii="David" w:hAnsi="David" w:hint="cs"/>
          <w:rtl/>
        </w:rPr>
        <w:t>לשמור</w:t>
      </w:r>
      <w:r w:rsidRPr="00696626">
        <w:rPr>
          <w:rFonts w:ascii="David" w:hAnsi="David"/>
          <w:rtl/>
        </w:rPr>
        <w:t xml:space="preserve"> את הפרטים אצלו.</w:t>
      </w:r>
    </w:p>
    <w:p w:rsidR="007F31D4" w:rsidRDefault="002032B1" w:rsidP="00845397">
      <w:pPr>
        <w:spacing w:line="360" w:lineRule="auto"/>
        <w:jc w:val="both"/>
        <w:rPr>
          <w:rFonts w:ascii="David" w:hAnsi="David"/>
          <w:b/>
          <w:bCs/>
          <w:rtl/>
        </w:rPr>
      </w:pPr>
      <w:r>
        <w:rPr>
          <w:rFonts w:ascii="David" w:hAnsi="David" w:hint="cs"/>
          <w:b/>
          <w:bCs/>
          <w:rtl/>
        </w:rPr>
        <w:t xml:space="preserve">למען הסר ספק, </w:t>
      </w:r>
      <w:r w:rsidRPr="002143A8">
        <w:rPr>
          <w:rFonts w:ascii="David" w:hAnsi="David" w:hint="cs"/>
          <w:b/>
          <w:bCs/>
          <w:rtl/>
        </w:rPr>
        <w:t xml:space="preserve">בכל העברה: </w:t>
      </w:r>
      <w:r>
        <w:rPr>
          <w:rFonts w:ascii="David" w:hAnsi="David" w:hint="cs"/>
          <w:rtl/>
        </w:rPr>
        <w:t xml:space="preserve">נותן השירות </w:t>
      </w:r>
      <w:r w:rsidRPr="00696626">
        <w:rPr>
          <w:rFonts w:ascii="David" w:hAnsi="David"/>
          <w:rtl/>
        </w:rPr>
        <w:t>המעביר</w:t>
      </w:r>
      <w:r>
        <w:rPr>
          <w:rFonts w:ascii="David" w:hAnsi="David" w:hint="cs"/>
          <w:rtl/>
        </w:rPr>
        <w:t xml:space="preserve"> נדרש</w:t>
      </w:r>
      <w:r w:rsidRPr="00696626">
        <w:rPr>
          <w:rFonts w:ascii="David" w:hAnsi="David"/>
          <w:rtl/>
        </w:rPr>
        <w:t xml:space="preserve"> לאמת את פרטי מעביר ההעברה. </w:t>
      </w:r>
      <w:r>
        <w:rPr>
          <w:rFonts w:ascii="David" w:hAnsi="David" w:hint="cs"/>
          <w:rtl/>
        </w:rPr>
        <w:t>נותן השירות</w:t>
      </w:r>
      <w:r w:rsidRPr="00696626">
        <w:rPr>
          <w:rFonts w:ascii="David" w:hAnsi="David"/>
          <w:rtl/>
        </w:rPr>
        <w:t xml:space="preserve"> מקבל ההעברה</w:t>
      </w:r>
      <w:r>
        <w:rPr>
          <w:rFonts w:ascii="David" w:hAnsi="David" w:hint="cs"/>
          <w:rtl/>
        </w:rPr>
        <w:t xml:space="preserve"> נדרש</w:t>
      </w:r>
      <w:r w:rsidRPr="00696626">
        <w:rPr>
          <w:rFonts w:ascii="David" w:hAnsi="David"/>
          <w:rtl/>
        </w:rPr>
        <w:t xml:space="preserve"> לאמת את פרטי הנעבר.</w:t>
      </w:r>
      <w:r>
        <w:rPr>
          <w:rFonts w:ascii="David" w:hAnsi="David" w:hint="cs"/>
          <w:rtl/>
        </w:rPr>
        <w:t xml:space="preserve"> </w:t>
      </w:r>
      <w:r w:rsidRPr="00696626">
        <w:rPr>
          <w:rFonts w:ascii="David" w:hAnsi="David" w:hint="cs"/>
          <w:b/>
          <w:bCs/>
          <w:rtl/>
        </w:rPr>
        <w:t xml:space="preserve">לעניין סעיף 7א </w:t>
      </w:r>
      <w:r w:rsidRPr="00696626">
        <w:rPr>
          <w:rFonts w:ascii="David" w:hAnsi="David"/>
          <w:b/>
          <w:bCs/>
          <w:rtl/>
        </w:rPr>
        <w:t>–</w:t>
      </w:r>
      <w:r w:rsidRPr="00696626">
        <w:rPr>
          <w:rFonts w:ascii="David" w:hAnsi="David" w:hint="cs"/>
          <w:b/>
          <w:bCs/>
          <w:rtl/>
        </w:rPr>
        <w:t xml:space="preserve"> משמעות דרישת ה</w:t>
      </w:r>
      <w:r w:rsidRPr="00696626">
        <w:rPr>
          <w:rFonts w:ascii="David" w:hAnsi="David"/>
          <w:b/>
          <w:bCs/>
          <w:rtl/>
        </w:rPr>
        <w:t xml:space="preserve">אימות </w:t>
      </w:r>
      <w:r w:rsidRPr="00696626">
        <w:rPr>
          <w:rFonts w:ascii="David" w:hAnsi="David" w:hint="cs"/>
          <w:b/>
          <w:bCs/>
          <w:rtl/>
        </w:rPr>
        <w:t>היא</w:t>
      </w:r>
      <w:r w:rsidRPr="00696626">
        <w:rPr>
          <w:rFonts w:ascii="David" w:hAnsi="David"/>
          <w:b/>
          <w:bCs/>
          <w:rtl/>
        </w:rPr>
        <w:t xml:space="preserve"> רישום פרטים על סמך תעודה אחת בלבד.</w:t>
      </w:r>
    </w:p>
    <w:p w:rsidR="00287A57" w:rsidRPr="00287A57" w:rsidRDefault="002032B1" w:rsidP="00845397">
      <w:pPr>
        <w:spacing w:line="360" w:lineRule="auto"/>
        <w:jc w:val="both"/>
        <w:rPr>
          <w:rtl/>
        </w:rPr>
      </w:pPr>
      <w:r>
        <w:rPr>
          <w:rFonts w:ascii="David" w:hAnsi="David" w:hint="cs"/>
          <w:b/>
          <w:bCs/>
          <w:rtl/>
        </w:rPr>
        <w:t xml:space="preserve">לעניין מספר הזהות ומספר החשבון: </w:t>
      </w:r>
      <w:r>
        <w:rPr>
          <w:rFonts w:ascii="David" w:hAnsi="David" w:hint="cs"/>
          <w:rtl/>
        </w:rPr>
        <w:t xml:space="preserve">במצב שבו אין בידי נותן השירות את מספר הזהות או מספר החשבון, הצו מאפשר לרשום פרטים חלופיים המפורטים בסעיף. </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287A57">
        <w:tc>
          <w:tcPr>
            <w:tcW w:w="8296" w:type="dxa"/>
            <w:shd w:val="clear" w:color="auto" w:fill="0070C0"/>
          </w:tcPr>
          <w:p w:rsidR="00287A57" w:rsidRPr="00976621" w:rsidRDefault="002032B1" w:rsidP="00845397">
            <w:pPr>
              <w:pStyle w:val="2"/>
              <w:spacing w:line="360" w:lineRule="auto"/>
              <w:outlineLvl w:val="1"/>
              <w:rPr>
                <w:rFonts w:ascii="David" w:hAnsi="David" w:cs="David"/>
                <w:rtl/>
              </w:rPr>
            </w:pPr>
            <w:bookmarkStart w:id="9" w:name="_Toc85982157"/>
            <w:r w:rsidRPr="00976621">
              <w:rPr>
                <w:rFonts w:ascii="David" w:hAnsi="David" w:cs="David"/>
                <w:rtl/>
              </w:rPr>
              <w:t>7. הוראות חלופיות לזיהוי ואימות פרטים ודרישת מסמכים – סעיף 8 לצו</w:t>
            </w:r>
            <w:bookmarkEnd w:id="9"/>
          </w:p>
        </w:tc>
      </w:tr>
    </w:tbl>
    <w:p w:rsidR="00440CED" w:rsidRDefault="002032B1" w:rsidP="00845397">
      <w:pPr>
        <w:spacing w:before="240" w:line="360" w:lineRule="auto"/>
        <w:jc w:val="both"/>
        <w:rPr>
          <w:rFonts w:ascii="David" w:hAnsi="David"/>
          <w:rtl/>
        </w:rPr>
      </w:pPr>
      <w:r>
        <w:rPr>
          <w:rFonts w:ascii="David" w:hAnsi="David" w:hint="cs"/>
          <w:rtl/>
        </w:rPr>
        <w:t>לפי סעיף 8 לצו, הממונה מוסמך, לאחר התייעצות עם ראש הרשות לאיסור הלבנת הון ומימון טרור, להורות, במקרים מסוימים על דרכי זיהוי, דרכי אימות ודרישת מסמכים חלופיות.</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287A57">
        <w:tc>
          <w:tcPr>
            <w:tcW w:w="8296" w:type="dxa"/>
            <w:shd w:val="clear" w:color="auto" w:fill="0070C0"/>
          </w:tcPr>
          <w:p w:rsidR="00287A57" w:rsidRPr="00976621" w:rsidRDefault="002032B1" w:rsidP="00845397">
            <w:pPr>
              <w:pStyle w:val="2"/>
              <w:spacing w:line="360" w:lineRule="auto"/>
              <w:outlineLvl w:val="1"/>
              <w:rPr>
                <w:rFonts w:ascii="David" w:hAnsi="David" w:cs="David"/>
                <w:rtl/>
              </w:rPr>
            </w:pPr>
            <w:bookmarkStart w:id="10" w:name="_Toc85982158"/>
            <w:r w:rsidRPr="00976621">
              <w:rPr>
                <w:rFonts w:ascii="David" w:hAnsi="David" w:cs="David" w:hint="cs"/>
                <w:rtl/>
              </w:rPr>
              <w:lastRenderedPageBreak/>
              <w:t xml:space="preserve">8. ביטול פטורים והקלות </w:t>
            </w:r>
            <w:r w:rsidRPr="00976621">
              <w:rPr>
                <w:rFonts w:ascii="David" w:hAnsi="David" w:cs="David"/>
                <w:rtl/>
              </w:rPr>
              <w:t>–</w:t>
            </w:r>
            <w:r w:rsidRPr="00976621">
              <w:rPr>
                <w:rFonts w:ascii="David" w:hAnsi="David" w:cs="David" w:hint="cs"/>
                <w:rtl/>
              </w:rPr>
              <w:t xml:space="preserve"> סעיף 9 לצו</w:t>
            </w:r>
            <w:bookmarkEnd w:id="10"/>
          </w:p>
        </w:tc>
      </w:tr>
    </w:tbl>
    <w:p w:rsidR="00440CED" w:rsidRDefault="002032B1" w:rsidP="00845397">
      <w:pPr>
        <w:spacing w:before="240" w:line="360" w:lineRule="auto"/>
        <w:jc w:val="both"/>
        <w:rPr>
          <w:rFonts w:ascii="David" w:hAnsi="David"/>
          <w:rtl/>
        </w:rPr>
      </w:pPr>
      <w:r>
        <w:rPr>
          <w:rFonts w:ascii="David" w:hAnsi="David" w:hint="cs"/>
          <w:rtl/>
        </w:rPr>
        <w:t xml:space="preserve">סעיף 9 לצו קובע כי במצב שבו </w:t>
      </w:r>
      <w:r w:rsidRPr="002143A8">
        <w:rPr>
          <w:rFonts w:ascii="David" w:hAnsi="David"/>
          <w:rtl/>
        </w:rPr>
        <w:t xml:space="preserve">התעורר חשש להלבנת הון או </w:t>
      </w:r>
      <w:r>
        <w:rPr>
          <w:rFonts w:ascii="David" w:hAnsi="David" w:hint="cs"/>
          <w:rtl/>
        </w:rPr>
        <w:t>ל</w:t>
      </w:r>
      <w:r w:rsidRPr="002143A8">
        <w:rPr>
          <w:rFonts w:ascii="David" w:hAnsi="David"/>
          <w:rtl/>
        </w:rPr>
        <w:t xml:space="preserve">מימון טרור, לא יחולו </w:t>
      </w:r>
      <w:r>
        <w:rPr>
          <w:rFonts w:ascii="David" w:hAnsi="David" w:hint="cs"/>
          <w:rtl/>
        </w:rPr>
        <w:t>ה</w:t>
      </w:r>
      <w:r w:rsidRPr="002143A8">
        <w:rPr>
          <w:rFonts w:ascii="David" w:hAnsi="David"/>
          <w:rtl/>
        </w:rPr>
        <w:t>פטורים והקלות</w:t>
      </w:r>
      <w:r>
        <w:rPr>
          <w:rFonts w:ascii="David" w:hAnsi="David" w:hint="cs"/>
          <w:rtl/>
        </w:rPr>
        <w:t xml:space="preserve"> שניתנו ביחס להצהרת מקור ומערכת סגורה וסגורה למחצה. כמו כן, במצב כזה, נותן השירות ישקול, לפי מידת הסיכון להלבנת הון ולמימון טרור לבטל את ההקלות שניתנו בנוגע להוראות חלופיות לעניין הדרישה לה</w:t>
      </w:r>
      <w:r w:rsidR="00F90443">
        <w:rPr>
          <w:rFonts w:ascii="David" w:hAnsi="David" w:hint="cs"/>
          <w:rtl/>
        </w:rPr>
        <w:t>צהרה בחתימת מקור, לפי סעיף 5(ו)</w:t>
      </w:r>
      <w:r>
        <w:rPr>
          <w:rFonts w:ascii="David" w:hAnsi="David" w:hint="cs"/>
          <w:rtl/>
        </w:rPr>
        <w:t>, זיהוי חזותי של מקבל השירות באמצעות טכנולוגיה, לפי סעיף 6(ג), ודרכי זיהוי ואימות ודרישת מסמכים לחופיות לפי סעיף 8.</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287A57">
        <w:tc>
          <w:tcPr>
            <w:tcW w:w="8296" w:type="dxa"/>
            <w:shd w:val="clear" w:color="auto" w:fill="0070C0"/>
          </w:tcPr>
          <w:p w:rsidR="00287A57" w:rsidRPr="00976621" w:rsidRDefault="002032B1" w:rsidP="00845397">
            <w:pPr>
              <w:pStyle w:val="2"/>
              <w:spacing w:line="360" w:lineRule="auto"/>
              <w:outlineLvl w:val="1"/>
              <w:rPr>
                <w:rFonts w:ascii="David" w:hAnsi="David" w:cs="David"/>
                <w:rtl/>
              </w:rPr>
            </w:pPr>
            <w:bookmarkStart w:id="11" w:name="_Toc85982159"/>
            <w:r w:rsidRPr="00976621">
              <w:rPr>
                <w:rFonts w:ascii="David" w:hAnsi="David" w:cs="David" w:hint="cs"/>
                <w:rtl/>
              </w:rPr>
              <w:t xml:space="preserve">9. חובת ביצוע בקרה </w:t>
            </w:r>
            <w:r w:rsidRPr="00976621">
              <w:rPr>
                <w:rFonts w:ascii="David" w:hAnsi="David" w:cs="David"/>
                <w:rtl/>
              </w:rPr>
              <w:t>–</w:t>
            </w:r>
            <w:r w:rsidRPr="00976621">
              <w:rPr>
                <w:rFonts w:ascii="David" w:hAnsi="David" w:cs="David" w:hint="cs"/>
                <w:rtl/>
              </w:rPr>
              <w:t xml:space="preserve"> סעיף 10 לצו</w:t>
            </w:r>
            <w:bookmarkEnd w:id="11"/>
          </w:p>
        </w:tc>
      </w:tr>
    </w:tbl>
    <w:p w:rsidR="007F31D4" w:rsidRPr="002143A8" w:rsidRDefault="002032B1" w:rsidP="00845397">
      <w:pPr>
        <w:spacing w:before="240" w:line="360" w:lineRule="auto"/>
        <w:jc w:val="both"/>
        <w:rPr>
          <w:rFonts w:ascii="David" w:hAnsi="David"/>
          <w:rtl/>
        </w:rPr>
      </w:pPr>
      <w:r w:rsidRPr="002143A8">
        <w:rPr>
          <w:rFonts w:ascii="David" w:hAnsi="David"/>
          <w:rtl/>
        </w:rPr>
        <w:t>נותן שירות</w:t>
      </w:r>
      <w:r>
        <w:rPr>
          <w:rFonts w:ascii="David" w:hAnsi="David" w:hint="cs"/>
          <w:rtl/>
        </w:rPr>
        <w:t xml:space="preserve"> נדרש ל</w:t>
      </w:r>
      <w:r w:rsidRPr="002143A8">
        <w:rPr>
          <w:rFonts w:ascii="David" w:hAnsi="David"/>
          <w:rtl/>
        </w:rPr>
        <w:t>קיים בקרה שוטפת</w:t>
      </w:r>
      <w:r w:rsidR="00450812">
        <w:rPr>
          <w:rFonts w:ascii="David" w:hAnsi="David" w:hint="cs"/>
          <w:rtl/>
        </w:rPr>
        <w:t xml:space="preserve"> אחר פעולות מקבל השירות שאינו מקבל שירות מזדמן</w:t>
      </w:r>
      <w:r w:rsidRPr="002143A8">
        <w:rPr>
          <w:rFonts w:ascii="David" w:hAnsi="David"/>
          <w:rtl/>
        </w:rPr>
        <w:t xml:space="preserve"> בהתאם ל</w:t>
      </w:r>
      <w:r>
        <w:rPr>
          <w:rFonts w:ascii="David" w:hAnsi="David" w:hint="cs"/>
          <w:rtl/>
        </w:rPr>
        <w:t>רמת ה</w:t>
      </w:r>
      <w:r w:rsidRPr="002143A8">
        <w:rPr>
          <w:rFonts w:ascii="David" w:hAnsi="David"/>
          <w:rtl/>
        </w:rPr>
        <w:t>סיכון</w:t>
      </w:r>
      <w:r>
        <w:rPr>
          <w:rFonts w:ascii="David" w:hAnsi="David" w:hint="cs"/>
          <w:rtl/>
        </w:rPr>
        <w:t xml:space="preserve"> של</w:t>
      </w:r>
      <w:r w:rsidRPr="002143A8">
        <w:rPr>
          <w:rFonts w:ascii="David" w:hAnsi="David"/>
          <w:rtl/>
        </w:rPr>
        <w:t xml:space="preserve"> </w:t>
      </w:r>
      <w:r>
        <w:rPr>
          <w:rFonts w:ascii="David" w:hAnsi="David" w:hint="cs"/>
          <w:rtl/>
        </w:rPr>
        <w:t xml:space="preserve">מקבל השירות להלבנת הון ולמימון טרור </w:t>
      </w:r>
      <w:r w:rsidRPr="002143A8">
        <w:rPr>
          <w:rFonts w:ascii="David" w:hAnsi="David"/>
          <w:rtl/>
        </w:rPr>
        <w:t>ובהתאם להליך הכרת הלקוח</w:t>
      </w:r>
      <w:r>
        <w:rPr>
          <w:rFonts w:ascii="David" w:hAnsi="David" w:hint="cs"/>
          <w:rtl/>
        </w:rPr>
        <w:t>, ולעדכן את רישומיו.</w:t>
      </w:r>
      <w:r w:rsidR="00917D6B">
        <w:rPr>
          <w:rFonts w:ascii="David" w:hAnsi="David" w:hint="cs"/>
          <w:rtl/>
        </w:rPr>
        <w:t xml:space="preserve"> </w:t>
      </w:r>
      <w:r w:rsidRPr="002143A8">
        <w:rPr>
          <w:rFonts w:ascii="David" w:hAnsi="David"/>
          <w:rtl/>
        </w:rPr>
        <w:t xml:space="preserve">אם התעורר ספק ביחס לזהות או ביחס לאמיתות מסמכי הזיהוי </w:t>
      </w:r>
      <w:r>
        <w:rPr>
          <w:rFonts w:ascii="David" w:hAnsi="David" w:hint="cs"/>
          <w:rtl/>
        </w:rPr>
        <w:t>נותן השירות נדרש</w:t>
      </w:r>
      <w:r w:rsidRPr="002143A8">
        <w:rPr>
          <w:rFonts w:ascii="David" w:hAnsi="David"/>
          <w:rtl/>
        </w:rPr>
        <w:t xml:space="preserve"> לבצע הליך הכרת הלקוח נוסף</w:t>
      </w:r>
      <w:r>
        <w:rPr>
          <w:rFonts w:ascii="David" w:hAnsi="David" w:hint="cs"/>
          <w:rtl/>
        </w:rPr>
        <w:t xml:space="preserve">. </w:t>
      </w:r>
    </w:p>
    <w:p w:rsidR="007F31D4" w:rsidRPr="002143A8" w:rsidRDefault="002032B1" w:rsidP="00845397">
      <w:pPr>
        <w:spacing w:line="360" w:lineRule="auto"/>
        <w:jc w:val="both"/>
        <w:rPr>
          <w:rFonts w:ascii="David" w:hAnsi="David"/>
          <w:rtl/>
        </w:rPr>
      </w:pPr>
      <w:r>
        <w:rPr>
          <w:rFonts w:ascii="David" w:hAnsi="David" w:hint="cs"/>
          <w:rtl/>
        </w:rPr>
        <w:t xml:space="preserve">במצב שבו </w:t>
      </w:r>
      <w:r w:rsidRPr="002143A8">
        <w:rPr>
          <w:rFonts w:ascii="David" w:hAnsi="David"/>
          <w:rtl/>
        </w:rPr>
        <w:t>התעורר חשש להלבנת הון או למימון טרור לגבי פעולות שביצע מקבל השירות, יבקש נותן השירות ממקבל השירות מידע והסברים לגבי אותן הפעולות ובמקרה הצורך גם אסמכתאות התומכות במידע ובהסברים שמסר, ויעדכן את רישומי הכרת הלקוח בהתאם</w:t>
      </w:r>
      <w:r>
        <w:rPr>
          <w:rFonts w:ascii="David" w:hAnsi="David" w:hint="cs"/>
          <w:rtl/>
        </w:rPr>
        <w:t>.</w:t>
      </w:r>
    </w:p>
    <w:p w:rsidR="00440CED" w:rsidRDefault="002032B1" w:rsidP="00845397">
      <w:pPr>
        <w:spacing w:line="360" w:lineRule="auto"/>
        <w:jc w:val="both"/>
        <w:rPr>
          <w:rFonts w:ascii="David" w:hAnsi="David"/>
          <w:rtl/>
        </w:rPr>
      </w:pPr>
      <w:r>
        <w:rPr>
          <w:rFonts w:ascii="David" w:hAnsi="David" w:hint="cs"/>
          <w:rtl/>
        </w:rPr>
        <w:t xml:space="preserve">נותן השירות נדרש לבצע </w:t>
      </w:r>
      <w:r w:rsidRPr="002143A8">
        <w:rPr>
          <w:rFonts w:ascii="David" w:hAnsi="David"/>
          <w:rtl/>
        </w:rPr>
        <w:t xml:space="preserve">בקרה מוגברת כאשר מדובר </w:t>
      </w:r>
      <w:r w:rsidR="00F90443">
        <w:rPr>
          <w:rFonts w:ascii="David" w:hAnsi="David" w:hint="cs"/>
          <w:rtl/>
        </w:rPr>
        <w:t xml:space="preserve">בפעילות מול </w:t>
      </w:r>
      <w:r w:rsidRPr="002143A8">
        <w:rPr>
          <w:rFonts w:ascii="David" w:hAnsi="David"/>
          <w:rtl/>
        </w:rPr>
        <w:t>מדינה בסיכון</w:t>
      </w:r>
      <w:r>
        <w:rPr>
          <w:rFonts w:ascii="David" w:hAnsi="David" w:hint="cs"/>
          <w:rtl/>
        </w:rPr>
        <w:t xml:space="preserve"> (המופיעה בתוספת הראשונה לצו)</w:t>
      </w:r>
      <w:r w:rsidRPr="002143A8">
        <w:rPr>
          <w:rFonts w:ascii="David" w:hAnsi="David"/>
          <w:rtl/>
        </w:rPr>
        <w:t>, איש ציבור זר או פעולה בסיכון גבוה להלבנת הון/מימון טרור</w:t>
      </w:r>
      <w:r>
        <w:rPr>
          <w:rFonts w:ascii="David" w:hAnsi="David" w:hint="cs"/>
          <w:rtl/>
        </w:rPr>
        <w:t>.</w:t>
      </w:r>
      <w:r w:rsidR="00AA3DA9">
        <w:rPr>
          <w:rFonts w:ascii="David" w:hAnsi="David" w:hint="cs"/>
          <w:rtl/>
        </w:rPr>
        <w:t xml:space="preserve"> כמו כן, נותן שירות נדרש לבצע בקרה מוגברת על פעילות חוזרת של מקבל שירות המעוררת חשש להלבנת הון או מימון טרור.</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287A57">
        <w:tc>
          <w:tcPr>
            <w:tcW w:w="8296" w:type="dxa"/>
            <w:shd w:val="clear" w:color="auto" w:fill="0070C0"/>
          </w:tcPr>
          <w:p w:rsidR="00287A57" w:rsidRDefault="002032B1" w:rsidP="00845397">
            <w:pPr>
              <w:pStyle w:val="2"/>
              <w:spacing w:line="360" w:lineRule="auto"/>
              <w:outlineLvl w:val="1"/>
              <w:rPr>
                <w:rtl/>
              </w:rPr>
            </w:pPr>
            <w:bookmarkStart w:id="12" w:name="_Toc85982160"/>
            <w:r w:rsidRPr="00976621">
              <w:rPr>
                <w:rFonts w:ascii="David" w:hAnsi="David" w:cs="David" w:hint="cs"/>
                <w:rtl/>
              </w:rPr>
              <w:t xml:space="preserve">10.  חובות דיווח </w:t>
            </w:r>
            <w:r w:rsidRPr="00976621">
              <w:rPr>
                <w:rFonts w:ascii="David" w:hAnsi="David" w:cs="David"/>
                <w:rtl/>
              </w:rPr>
              <w:t>–</w:t>
            </w:r>
            <w:r w:rsidRPr="00976621">
              <w:rPr>
                <w:rFonts w:ascii="David" w:hAnsi="David" w:cs="David" w:hint="cs"/>
                <w:rtl/>
              </w:rPr>
              <w:t xml:space="preserve"> סעיף 11 לצו</w:t>
            </w:r>
            <w:bookmarkEnd w:id="12"/>
          </w:p>
        </w:tc>
      </w:tr>
    </w:tbl>
    <w:p w:rsidR="00F4777D" w:rsidRDefault="002032B1" w:rsidP="00845397">
      <w:pPr>
        <w:spacing w:before="240" w:line="360" w:lineRule="auto"/>
        <w:jc w:val="both"/>
        <w:rPr>
          <w:rtl/>
        </w:rPr>
      </w:pPr>
      <w:r>
        <w:rPr>
          <w:rFonts w:hint="cs"/>
          <w:rtl/>
        </w:rPr>
        <w:t xml:space="preserve">הצו קובע חובת דיווח רגיל וחובת דיווח בלתי רגיל. </w:t>
      </w:r>
    </w:p>
    <w:p w:rsidR="00F52254" w:rsidRDefault="002032B1" w:rsidP="00845397">
      <w:pPr>
        <w:spacing w:after="0" w:line="360" w:lineRule="auto"/>
        <w:jc w:val="both"/>
        <w:rPr>
          <w:rtl/>
        </w:rPr>
      </w:pPr>
      <w:r>
        <w:rPr>
          <w:rFonts w:hint="cs"/>
          <w:b/>
          <w:bCs/>
          <w:rtl/>
        </w:rPr>
        <w:t xml:space="preserve">דיווח רגיל </w:t>
      </w:r>
      <w:r>
        <w:rPr>
          <w:rFonts w:hint="cs"/>
          <w:rtl/>
        </w:rPr>
        <w:t xml:space="preserve"> </w:t>
      </w:r>
    </w:p>
    <w:p w:rsidR="007F31D4" w:rsidRDefault="002032B1" w:rsidP="00845397">
      <w:pPr>
        <w:spacing w:before="240" w:line="360" w:lineRule="auto"/>
        <w:jc w:val="both"/>
        <w:rPr>
          <w:rtl/>
        </w:rPr>
      </w:pPr>
      <w:r>
        <w:rPr>
          <w:rFonts w:hint="cs"/>
          <w:rtl/>
        </w:rPr>
        <w:t xml:space="preserve">דיווח רגיל הוא דיווח שנותן השירות מעביר ללא שיקול דעת, בהתאם לביצוע פעולות מעל ספים קבועים מראש בצו. </w:t>
      </w:r>
      <w:r w:rsidRPr="002143A8">
        <w:rPr>
          <w:rFonts w:hint="cs"/>
          <w:rtl/>
        </w:rPr>
        <w:t>נותן שירות ידווח</w:t>
      </w:r>
      <w:r>
        <w:rPr>
          <w:rFonts w:hint="cs"/>
          <w:rtl/>
        </w:rPr>
        <w:t xml:space="preserve"> לרשות לאיסור הלבנת הון ומימון ט</w:t>
      </w:r>
      <w:r w:rsidRPr="002143A8">
        <w:rPr>
          <w:rFonts w:hint="cs"/>
          <w:rtl/>
        </w:rPr>
        <w:t>רור על הפעולות הבאות:</w:t>
      </w:r>
    </w:p>
    <w:p w:rsidR="007F31D4" w:rsidRPr="002143A8" w:rsidRDefault="002032B1" w:rsidP="00845397">
      <w:pPr>
        <w:pStyle w:val="a3"/>
        <w:numPr>
          <w:ilvl w:val="0"/>
          <w:numId w:val="3"/>
        </w:numPr>
        <w:spacing w:line="360" w:lineRule="auto"/>
        <w:jc w:val="both"/>
        <w:rPr>
          <w:rFonts w:ascii="David" w:hAnsi="David" w:cs="David"/>
          <w:sz w:val="24"/>
          <w:szCs w:val="24"/>
          <w:rtl/>
        </w:rPr>
      </w:pPr>
      <w:r>
        <w:rPr>
          <w:rFonts w:ascii="David" w:hAnsi="David" w:cs="David" w:hint="cs"/>
          <w:sz w:val="24"/>
          <w:szCs w:val="24"/>
          <w:rtl/>
        </w:rPr>
        <w:t>נות</w:t>
      </w:r>
      <w:r w:rsidR="00AA3DA9">
        <w:rPr>
          <w:rFonts w:ascii="David" w:hAnsi="David" w:cs="David" w:hint="cs"/>
          <w:sz w:val="24"/>
          <w:szCs w:val="24"/>
          <w:rtl/>
        </w:rPr>
        <w:t>ן</w:t>
      </w:r>
      <w:r>
        <w:rPr>
          <w:rFonts w:ascii="David" w:hAnsi="David" w:cs="David" w:hint="cs"/>
          <w:sz w:val="24"/>
          <w:szCs w:val="24"/>
          <w:rtl/>
        </w:rPr>
        <w:t xml:space="preserve"> שירות אשראי - </w:t>
      </w:r>
      <w:r w:rsidRPr="002143A8">
        <w:rPr>
          <w:rFonts w:ascii="David" w:hAnsi="David" w:cs="David"/>
          <w:sz w:val="24"/>
          <w:szCs w:val="24"/>
          <w:rtl/>
        </w:rPr>
        <w:t>העברת נכסים פיננסיים מנותן שירותי אשראי למקבל השירות ולהיפך בסכום של 50,000 ש"ח</w:t>
      </w:r>
      <w:r w:rsidR="00F90443">
        <w:rPr>
          <w:rFonts w:ascii="David" w:hAnsi="David" w:cs="David" w:hint="cs"/>
          <w:sz w:val="24"/>
          <w:szCs w:val="24"/>
          <w:rtl/>
        </w:rPr>
        <w:t xml:space="preserve"> או יותר, או בסכום של </w:t>
      </w:r>
      <w:r w:rsidRPr="002143A8">
        <w:rPr>
          <w:rFonts w:ascii="David" w:hAnsi="David" w:cs="David"/>
          <w:sz w:val="24"/>
          <w:szCs w:val="24"/>
          <w:rtl/>
        </w:rPr>
        <w:t xml:space="preserve">150,000 ש"ח </w:t>
      </w:r>
      <w:r w:rsidR="00F90443">
        <w:rPr>
          <w:rFonts w:ascii="David" w:hAnsi="David" w:cs="David" w:hint="cs"/>
          <w:sz w:val="24"/>
          <w:szCs w:val="24"/>
          <w:rtl/>
        </w:rPr>
        <w:t xml:space="preserve">או יותר, </w:t>
      </w:r>
      <w:r w:rsidR="00B7733B">
        <w:rPr>
          <w:rFonts w:ascii="David" w:hAnsi="David" w:cs="David" w:hint="cs"/>
          <w:sz w:val="24"/>
          <w:szCs w:val="24"/>
          <w:rtl/>
        </w:rPr>
        <w:t xml:space="preserve">כאשר מדובר </w:t>
      </w:r>
      <w:r w:rsidR="00ED58CF">
        <w:rPr>
          <w:rFonts w:ascii="David" w:hAnsi="David" w:cs="David" w:hint="cs"/>
          <w:sz w:val="24"/>
          <w:szCs w:val="24"/>
          <w:rtl/>
        </w:rPr>
        <w:t>באשראי שניתן אגב רכישת נכס או שירות</w:t>
      </w:r>
      <w:r w:rsidR="00B7733B">
        <w:rPr>
          <w:rFonts w:ascii="David" w:hAnsi="David" w:cs="David" w:hint="cs"/>
          <w:sz w:val="24"/>
          <w:szCs w:val="24"/>
          <w:rtl/>
        </w:rPr>
        <w:t>.</w:t>
      </w:r>
    </w:p>
    <w:p w:rsidR="00B7733B" w:rsidRDefault="002032B1" w:rsidP="00845397">
      <w:pPr>
        <w:pStyle w:val="a3"/>
        <w:numPr>
          <w:ilvl w:val="0"/>
          <w:numId w:val="3"/>
        </w:numPr>
        <w:spacing w:line="360" w:lineRule="auto"/>
        <w:jc w:val="both"/>
        <w:rPr>
          <w:rFonts w:ascii="David" w:hAnsi="David" w:cs="David"/>
          <w:sz w:val="24"/>
          <w:szCs w:val="24"/>
        </w:rPr>
      </w:pPr>
      <w:r>
        <w:rPr>
          <w:rFonts w:ascii="David" w:hAnsi="David" w:cs="David" w:hint="cs"/>
          <w:sz w:val="24"/>
          <w:szCs w:val="24"/>
          <w:rtl/>
        </w:rPr>
        <w:t xml:space="preserve">נותן שירות בנכס פיננסי - </w:t>
      </w:r>
      <w:r w:rsidR="007F31D4" w:rsidRPr="002143A8">
        <w:rPr>
          <w:rFonts w:ascii="David" w:hAnsi="David" w:cs="David"/>
          <w:sz w:val="24"/>
          <w:szCs w:val="24"/>
          <w:rtl/>
        </w:rPr>
        <w:t>ביצוע פעולה בנכס פיננסי בסכום של 50,000 ש"ח</w:t>
      </w:r>
      <w:r>
        <w:rPr>
          <w:rFonts w:ascii="David" w:hAnsi="David" w:cs="David" w:hint="cs"/>
          <w:sz w:val="24"/>
          <w:szCs w:val="24"/>
          <w:rtl/>
        </w:rPr>
        <w:t xml:space="preserve"> או יותר.</w:t>
      </w:r>
    </w:p>
    <w:p w:rsidR="007F31D4" w:rsidRDefault="002032B1" w:rsidP="00845397">
      <w:pPr>
        <w:pStyle w:val="a3"/>
        <w:numPr>
          <w:ilvl w:val="0"/>
          <w:numId w:val="3"/>
        </w:numPr>
        <w:spacing w:line="360" w:lineRule="auto"/>
        <w:jc w:val="both"/>
        <w:rPr>
          <w:rFonts w:ascii="David" w:hAnsi="David" w:cs="David"/>
          <w:sz w:val="24"/>
          <w:szCs w:val="24"/>
        </w:rPr>
      </w:pPr>
      <w:r>
        <w:rPr>
          <w:rFonts w:ascii="David" w:hAnsi="David" w:cs="David" w:hint="cs"/>
          <w:sz w:val="24"/>
          <w:szCs w:val="24"/>
          <w:rtl/>
        </w:rPr>
        <w:t>העברת נכסים פיננסיים מנותן שירותי אשראי למקבל שירות ולהיפך וביצוע פעולה בנכס פיננסי</w:t>
      </w:r>
      <w:r w:rsidRPr="002143A8">
        <w:rPr>
          <w:rFonts w:ascii="David" w:hAnsi="David" w:cs="David"/>
          <w:sz w:val="24"/>
          <w:szCs w:val="24"/>
          <w:rtl/>
        </w:rPr>
        <w:t xml:space="preserve"> </w:t>
      </w:r>
      <w:r>
        <w:rPr>
          <w:rFonts w:ascii="David" w:hAnsi="David" w:cs="David" w:hint="cs"/>
          <w:sz w:val="24"/>
          <w:szCs w:val="24"/>
          <w:rtl/>
        </w:rPr>
        <w:t xml:space="preserve">כאשר מעורבת מדינה בסיכון, בסך של </w:t>
      </w:r>
      <w:r w:rsidRPr="002143A8">
        <w:rPr>
          <w:rFonts w:ascii="David" w:hAnsi="David" w:cs="David"/>
          <w:sz w:val="24"/>
          <w:szCs w:val="24"/>
          <w:rtl/>
        </w:rPr>
        <w:t xml:space="preserve">5,000 ש"ח </w:t>
      </w:r>
      <w:r>
        <w:rPr>
          <w:rFonts w:ascii="David" w:hAnsi="David" w:cs="David" w:hint="cs"/>
          <w:sz w:val="24"/>
          <w:szCs w:val="24"/>
          <w:rtl/>
        </w:rPr>
        <w:t>או יותר.</w:t>
      </w:r>
    </w:p>
    <w:p w:rsidR="00F52254" w:rsidRDefault="002032B1" w:rsidP="00845397">
      <w:pPr>
        <w:spacing w:after="0" w:line="360" w:lineRule="auto"/>
        <w:jc w:val="both"/>
        <w:rPr>
          <w:rFonts w:ascii="David" w:hAnsi="David"/>
          <w:b/>
          <w:bCs/>
          <w:rtl/>
        </w:rPr>
      </w:pPr>
      <w:r w:rsidRPr="00F52254">
        <w:rPr>
          <w:rFonts w:ascii="David" w:hAnsi="David" w:hint="cs"/>
          <w:b/>
          <w:bCs/>
          <w:rtl/>
        </w:rPr>
        <w:lastRenderedPageBreak/>
        <w:t>דיווח בלתי רגיל</w:t>
      </w:r>
    </w:p>
    <w:p w:rsidR="007F31D4" w:rsidRDefault="002032B1" w:rsidP="00845397">
      <w:pPr>
        <w:spacing w:before="240" w:line="360" w:lineRule="auto"/>
        <w:jc w:val="both"/>
        <w:rPr>
          <w:rFonts w:ascii="David" w:hAnsi="David"/>
          <w:rtl/>
        </w:rPr>
      </w:pPr>
      <w:r>
        <w:rPr>
          <w:rFonts w:ascii="David" w:hAnsi="David" w:hint="cs"/>
          <w:rtl/>
        </w:rPr>
        <w:t xml:space="preserve">דיווח בלתי רגיל הוא דיווח סובייקטיבי בהתאם לשיקול הדעת של נותן השירות. נותן שירות יעביר </w:t>
      </w:r>
      <w:r w:rsidRPr="002143A8">
        <w:rPr>
          <w:rFonts w:ascii="David" w:hAnsi="David"/>
          <w:rtl/>
        </w:rPr>
        <w:t xml:space="preserve">דיווח </w:t>
      </w:r>
      <w:r>
        <w:rPr>
          <w:rFonts w:ascii="David" w:hAnsi="David" w:hint="cs"/>
          <w:rtl/>
        </w:rPr>
        <w:t xml:space="preserve">בלתי רגיל </w:t>
      </w:r>
      <w:r w:rsidRPr="002143A8">
        <w:rPr>
          <w:rFonts w:ascii="David" w:hAnsi="David"/>
          <w:rtl/>
        </w:rPr>
        <w:t>על פעולה הנחזית בעיני</w:t>
      </w:r>
      <w:r w:rsidR="00291610">
        <w:rPr>
          <w:rFonts w:ascii="David" w:hAnsi="David" w:hint="cs"/>
          <w:rtl/>
        </w:rPr>
        <w:t>ו</w:t>
      </w:r>
      <w:r w:rsidRPr="002143A8">
        <w:rPr>
          <w:rFonts w:ascii="David" w:hAnsi="David"/>
          <w:rtl/>
        </w:rPr>
        <w:t xml:space="preserve"> כפעולה בלתי רגילה.</w:t>
      </w:r>
      <w:r>
        <w:rPr>
          <w:rFonts w:ascii="David" w:hAnsi="David" w:hint="cs"/>
          <w:rtl/>
        </w:rPr>
        <w:t xml:space="preserve"> פעולה בלתי רגילה יכולה להיות אחת מהפעולות המפורטות בתוספת הרביעית לצו. </w:t>
      </w:r>
      <w:r w:rsidRPr="008170F0">
        <w:rPr>
          <w:rFonts w:ascii="David" w:hAnsi="David"/>
          <w:rtl/>
        </w:rPr>
        <w:t xml:space="preserve">דיווח בלתי רגיל נעשה לפי שיקול דעת </w:t>
      </w:r>
      <w:r>
        <w:rPr>
          <w:rFonts w:ascii="David" w:hAnsi="David" w:hint="cs"/>
          <w:rtl/>
        </w:rPr>
        <w:t>נותן השירות</w:t>
      </w:r>
      <w:r>
        <w:rPr>
          <w:rFonts w:ascii="David" w:hAnsi="David"/>
          <w:rtl/>
        </w:rPr>
        <w:t xml:space="preserve"> המדווח, בהתבסס </w:t>
      </w:r>
      <w:r w:rsidR="002132D2">
        <w:rPr>
          <w:rFonts w:ascii="David" w:hAnsi="David" w:hint="cs"/>
          <w:rtl/>
        </w:rPr>
        <w:t xml:space="preserve">בין היתר, </w:t>
      </w:r>
      <w:r>
        <w:rPr>
          <w:rFonts w:ascii="David" w:hAnsi="David"/>
          <w:rtl/>
        </w:rPr>
        <w:t>על היכרות</w:t>
      </w:r>
      <w:r>
        <w:rPr>
          <w:rFonts w:ascii="David" w:hAnsi="David" w:hint="cs"/>
          <w:rtl/>
        </w:rPr>
        <w:t>ו עם מקבל השירות</w:t>
      </w:r>
      <w:r w:rsidRPr="008170F0">
        <w:rPr>
          <w:rFonts w:ascii="David" w:hAnsi="David"/>
          <w:rtl/>
        </w:rPr>
        <w:t xml:space="preserve"> ודפוס פעולותיו העסקיות</w:t>
      </w:r>
      <w:r>
        <w:rPr>
          <w:rFonts w:ascii="David" w:hAnsi="David" w:hint="cs"/>
          <w:rtl/>
        </w:rPr>
        <w:t>.</w:t>
      </w:r>
    </w:p>
    <w:p w:rsidR="00F52254" w:rsidRDefault="002032B1" w:rsidP="00845397">
      <w:pPr>
        <w:spacing w:after="0" w:line="360" w:lineRule="auto"/>
        <w:jc w:val="both"/>
        <w:rPr>
          <w:rFonts w:ascii="David" w:hAnsi="David"/>
          <w:b/>
          <w:bCs/>
          <w:rtl/>
        </w:rPr>
      </w:pPr>
      <w:r w:rsidRPr="002143A8">
        <w:rPr>
          <w:rFonts w:ascii="David" w:hAnsi="David" w:hint="cs"/>
          <w:b/>
          <w:bCs/>
          <w:rtl/>
        </w:rPr>
        <w:t>דוגמאות לפעולות בלתי רגילות</w:t>
      </w:r>
    </w:p>
    <w:p w:rsidR="007F31D4" w:rsidRPr="002143A8" w:rsidRDefault="002032B1" w:rsidP="00845397">
      <w:pPr>
        <w:pStyle w:val="a3"/>
        <w:numPr>
          <w:ilvl w:val="0"/>
          <w:numId w:val="3"/>
        </w:numPr>
        <w:spacing w:before="240" w:line="360" w:lineRule="auto"/>
        <w:rPr>
          <w:rFonts w:ascii="David" w:hAnsi="David" w:cs="David"/>
          <w:sz w:val="24"/>
          <w:szCs w:val="24"/>
          <w:rtl/>
        </w:rPr>
      </w:pPr>
      <w:r w:rsidRPr="002143A8">
        <w:rPr>
          <w:rFonts w:ascii="David" w:hAnsi="David" w:cs="David"/>
          <w:sz w:val="24"/>
          <w:szCs w:val="24"/>
          <w:rtl/>
        </w:rPr>
        <w:t>פעילות שנראה כי מטרתה לעקוף את חובת הדיווח הרגיל;</w:t>
      </w:r>
    </w:p>
    <w:p w:rsidR="007F31D4" w:rsidRPr="002143A8" w:rsidRDefault="002032B1" w:rsidP="00845397">
      <w:pPr>
        <w:pStyle w:val="a3"/>
        <w:numPr>
          <w:ilvl w:val="0"/>
          <w:numId w:val="3"/>
        </w:numPr>
        <w:spacing w:line="360" w:lineRule="auto"/>
        <w:rPr>
          <w:rFonts w:ascii="David" w:hAnsi="David" w:cs="David"/>
          <w:sz w:val="24"/>
          <w:szCs w:val="24"/>
          <w:rtl/>
        </w:rPr>
      </w:pPr>
      <w:r w:rsidRPr="002143A8">
        <w:rPr>
          <w:rFonts w:ascii="David" w:hAnsi="David" w:cs="David"/>
          <w:sz w:val="24"/>
          <w:szCs w:val="24"/>
          <w:rtl/>
        </w:rPr>
        <w:t>פעילות שנראה שמטרתה לעקוף את חובת הזיהוי;</w:t>
      </w:r>
    </w:p>
    <w:p w:rsidR="007F31D4" w:rsidRDefault="002032B1" w:rsidP="00845397">
      <w:pPr>
        <w:pStyle w:val="a3"/>
        <w:numPr>
          <w:ilvl w:val="0"/>
          <w:numId w:val="3"/>
        </w:numPr>
        <w:spacing w:line="360" w:lineRule="auto"/>
        <w:jc w:val="both"/>
        <w:rPr>
          <w:rFonts w:ascii="David" w:hAnsi="David" w:cs="David"/>
          <w:sz w:val="24"/>
          <w:szCs w:val="24"/>
        </w:rPr>
      </w:pPr>
      <w:r>
        <w:rPr>
          <w:rFonts w:ascii="David" w:hAnsi="David" w:cs="David" w:hint="cs"/>
          <w:sz w:val="24"/>
          <w:szCs w:val="24"/>
          <w:rtl/>
        </w:rPr>
        <w:t>סירוב מקבל שירות לספק מסמכי זיהוי לאחר שהתבקש לעשות כן, בלא הסבר סביר</w:t>
      </w:r>
      <w:r w:rsidRPr="002143A8">
        <w:rPr>
          <w:rFonts w:ascii="David" w:hAnsi="David" w:cs="David"/>
          <w:sz w:val="24"/>
          <w:szCs w:val="24"/>
          <w:rtl/>
        </w:rPr>
        <w:t>;</w:t>
      </w:r>
    </w:p>
    <w:p w:rsidR="007F31D4"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פעולה בעלת היקף כספי ומורכבות גבוהים, בלא הסבר סביר</w:t>
      </w:r>
      <w:r w:rsidR="008D1105">
        <w:rPr>
          <w:rFonts w:ascii="David" w:hAnsi="David" w:cs="David" w:hint="cs"/>
          <w:sz w:val="24"/>
          <w:szCs w:val="24"/>
          <w:rtl/>
        </w:rPr>
        <w:t>;</w:t>
      </w:r>
    </w:p>
    <w:p w:rsidR="007F31D4"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הבקשה לביצוע הפעולה היא של מי שאינו מקבל השירות, בלא הסבר סביר;</w:t>
      </w:r>
    </w:p>
    <w:p w:rsidR="007F31D4"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נראה כי מקבל השירות פועל בעבור נהנה, בלי שהצהיר על כך;</w:t>
      </w:r>
    </w:p>
    <w:p w:rsidR="007F31D4" w:rsidRPr="00D40E4B" w:rsidRDefault="002032B1" w:rsidP="00845397">
      <w:pPr>
        <w:pStyle w:val="a3"/>
        <w:numPr>
          <w:ilvl w:val="0"/>
          <w:numId w:val="3"/>
        </w:numPr>
        <w:spacing w:line="360" w:lineRule="auto"/>
        <w:jc w:val="both"/>
        <w:rPr>
          <w:rFonts w:ascii="David" w:hAnsi="David" w:cs="David"/>
          <w:sz w:val="24"/>
          <w:szCs w:val="24"/>
          <w:rtl/>
        </w:rPr>
      </w:pPr>
      <w:r w:rsidRPr="002143A8">
        <w:rPr>
          <w:rFonts w:ascii="David" w:hAnsi="David" w:cs="David"/>
          <w:sz w:val="24"/>
          <w:szCs w:val="24"/>
          <w:rtl/>
        </w:rPr>
        <w:t>נותן השירות לא הצליח לבצע הליך הכרת הלקוח לפי סעיפים 2 עד 4 לצו, בשל התנהגות</w:t>
      </w:r>
      <w:r w:rsidR="008D1105">
        <w:rPr>
          <w:rFonts w:ascii="David" w:hAnsi="David" w:cs="David" w:hint="cs"/>
          <w:sz w:val="24"/>
          <w:szCs w:val="24"/>
          <w:rtl/>
        </w:rPr>
        <w:t xml:space="preserve"> </w:t>
      </w:r>
      <w:r w:rsidRPr="00D40E4B">
        <w:rPr>
          <w:rFonts w:ascii="David" w:hAnsi="David" w:cs="David"/>
          <w:sz w:val="24"/>
          <w:szCs w:val="24"/>
          <w:rtl/>
        </w:rPr>
        <w:t>בלא הסבר סביר של מקבל השירות.</w:t>
      </w:r>
    </w:p>
    <w:p w:rsidR="00304411" w:rsidRPr="00304411" w:rsidRDefault="002032B1" w:rsidP="00845397">
      <w:pPr>
        <w:spacing w:before="240" w:after="0" w:line="360" w:lineRule="auto"/>
        <w:jc w:val="both"/>
        <w:rPr>
          <w:rFonts w:ascii="David" w:hAnsi="David"/>
          <w:b/>
          <w:bCs/>
        </w:rPr>
      </w:pPr>
      <w:r w:rsidRPr="00304411">
        <w:rPr>
          <w:rFonts w:ascii="David" w:hAnsi="David"/>
          <w:b/>
          <w:bCs/>
          <w:rtl/>
        </w:rPr>
        <w:t>תסמינים הרלבנטיים לפעילות בנכסים וירטואליים</w:t>
      </w:r>
    </w:p>
    <w:p w:rsidR="007F31D4" w:rsidRPr="002143A8" w:rsidRDefault="002032B1" w:rsidP="00845397">
      <w:pPr>
        <w:pStyle w:val="a3"/>
        <w:numPr>
          <w:ilvl w:val="0"/>
          <w:numId w:val="3"/>
        </w:numPr>
        <w:spacing w:before="240" w:line="360" w:lineRule="auto"/>
        <w:jc w:val="both"/>
        <w:rPr>
          <w:rFonts w:ascii="David" w:hAnsi="David" w:cs="David"/>
          <w:sz w:val="24"/>
          <w:szCs w:val="24"/>
        </w:rPr>
      </w:pPr>
      <w:r w:rsidRPr="002143A8">
        <w:rPr>
          <w:rFonts w:ascii="David" w:hAnsi="David" w:cs="David"/>
          <w:sz w:val="24"/>
          <w:szCs w:val="24"/>
          <w:rtl/>
        </w:rPr>
        <w:t xml:space="preserve">שימוש בסוגי מטבעות </w:t>
      </w:r>
      <w:r w:rsidRPr="002143A8">
        <w:rPr>
          <w:rFonts w:ascii="David" w:hAnsi="David" w:cs="David" w:hint="cs"/>
          <w:sz w:val="24"/>
          <w:szCs w:val="24"/>
          <w:rtl/>
        </w:rPr>
        <w:t>וירטואליי</w:t>
      </w:r>
      <w:r w:rsidRPr="002143A8">
        <w:rPr>
          <w:rFonts w:ascii="David" w:hAnsi="David" w:cs="David" w:hint="eastAsia"/>
          <w:sz w:val="24"/>
          <w:szCs w:val="24"/>
          <w:rtl/>
        </w:rPr>
        <w:t>ם</w:t>
      </w:r>
      <w:r w:rsidRPr="002143A8">
        <w:rPr>
          <w:rFonts w:ascii="David" w:hAnsi="David" w:cs="David"/>
          <w:sz w:val="24"/>
          <w:szCs w:val="24"/>
          <w:rtl/>
        </w:rPr>
        <w:t xml:space="preserve"> שלא ניתן להתחקות אחריהם באמצעים מקובלים;</w:t>
      </w:r>
    </w:p>
    <w:p w:rsidR="007F31D4" w:rsidRPr="002143A8"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 xml:space="preserve">מסחר במטבעות </w:t>
      </w:r>
      <w:r w:rsidRPr="002143A8">
        <w:rPr>
          <w:rFonts w:ascii="David" w:hAnsi="David" w:cs="David" w:hint="cs"/>
          <w:sz w:val="24"/>
          <w:szCs w:val="24"/>
          <w:rtl/>
        </w:rPr>
        <w:t>וירטואליי</w:t>
      </w:r>
      <w:r w:rsidRPr="002143A8">
        <w:rPr>
          <w:rFonts w:ascii="David" w:hAnsi="David" w:cs="David" w:hint="eastAsia"/>
          <w:sz w:val="24"/>
          <w:szCs w:val="24"/>
          <w:rtl/>
        </w:rPr>
        <w:t>ם</w:t>
      </w:r>
      <w:r w:rsidRPr="002143A8">
        <w:rPr>
          <w:rFonts w:ascii="David" w:hAnsi="David" w:cs="David"/>
          <w:sz w:val="24"/>
          <w:szCs w:val="24"/>
          <w:rtl/>
        </w:rPr>
        <w:t xml:space="preserve"> באמצעות פעולות או טכנולוגיות אשר לא ניתן לעקוב דרכן אחר ההעברה או השולח, או קיומן של אינדיקציות לשימוש באמצעים להסתרת מקור הפעולות;</w:t>
      </w:r>
    </w:p>
    <w:p w:rsidR="007F31D4" w:rsidRPr="002143A8"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 xml:space="preserve">אי התאמה בין הצהרת </w:t>
      </w:r>
      <w:r w:rsidR="00A9319C">
        <w:rPr>
          <w:rFonts w:ascii="David" w:hAnsi="David" w:cs="David" w:hint="cs"/>
          <w:sz w:val="24"/>
          <w:szCs w:val="24"/>
          <w:rtl/>
        </w:rPr>
        <w:t xml:space="preserve">מקבל השירות </w:t>
      </w:r>
      <w:r w:rsidRPr="002143A8">
        <w:rPr>
          <w:rFonts w:ascii="David" w:hAnsi="David" w:cs="David"/>
          <w:sz w:val="24"/>
          <w:szCs w:val="24"/>
          <w:rtl/>
        </w:rPr>
        <w:t xml:space="preserve">באשר למקור הכספים לבין המידע הידוע על כתובת הארנק של המטבע </w:t>
      </w:r>
      <w:r w:rsidRPr="002143A8">
        <w:rPr>
          <w:rFonts w:ascii="David" w:hAnsi="David" w:cs="David" w:hint="cs"/>
          <w:sz w:val="24"/>
          <w:szCs w:val="24"/>
          <w:rtl/>
        </w:rPr>
        <w:t>הווירטואל</w:t>
      </w:r>
      <w:r w:rsidRPr="002143A8">
        <w:rPr>
          <w:rFonts w:ascii="David" w:hAnsi="David" w:cs="David" w:hint="eastAsia"/>
          <w:sz w:val="24"/>
          <w:szCs w:val="24"/>
          <w:rtl/>
        </w:rPr>
        <w:t>י</w:t>
      </w:r>
      <w:r w:rsidRPr="002143A8">
        <w:rPr>
          <w:rFonts w:ascii="David" w:hAnsi="David" w:cs="David"/>
          <w:sz w:val="24"/>
          <w:szCs w:val="24"/>
          <w:rtl/>
        </w:rPr>
        <w:t>, בלא הסבר סביר;</w:t>
      </w:r>
    </w:p>
    <w:p w:rsidR="007F31D4" w:rsidRPr="002143A8"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 xml:space="preserve">העברת מטבעות </w:t>
      </w:r>
      <w:r w:rsidRPr="002143A8">
        <w:rPr>
          <w:rFonts w:ascii="David" w:hAnsi="David" w:cs="David" w:hint="cs"/>
          <w:sz w:val="24"/>
          <w:szCs w:val="24"/>
          <w:rtl/>
        </w:rPr>
        <w:t>וירטואליי</w:t>
      </w:r>
      <w:r w:rsidRPr="002143A8">
        <w:rPr>
          <w:rFonts w:ascii="David" w:hAnsi="David" w:cs="David" w:hint="eastAsia"/>
          <w:sz w:val="24"/>
          <w:szCs w:val="24"/>
          <w:rtl/>
        </w:rPr>
        <w:t>ם</w:t>
      </w:r>
      <w:r w:rsidRPr="002143A8">
        <w:rPr>
          <w:rFonts w:ascii="David" w:hAnsi="David" w:cs="David"/>
          <w:sz w:val="24"/>
          <w:szCs w:val="24"/>
          <w:rtl/>
        </w:rPr>
        <w:t xml:space="preserve"> לפלטפורמות שלפי המידע המצוי ברשות נותן השירות התעורר אצלו חשש שהן משמשות לפעילות פלילית ובכלל זה: להימורים, פדופיליה, זנות, סחר בסמים וכדומה. </w:t>
      </w:r>
    </w:p>
    <w:p w:rsidR="007F31D4" w:rsidRPr="002143A8"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קיים חשש כי מקור הכספים הוא ברכוש אסור;</w:t>
      </w:r>
    </w:p>
    <w:p w:rsidR="007F31D4" w:rsidRPr="002143A8"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קבלה או העברה של מטבעות וירטואליים שלפי המידע המצוי בידי נותן השירות התעורר אצלו חשש שהם חשודים, לפי ההיסטוריה שלהם, כמטבעות שמקורם בפעילות פלילית, לרבות פלטפורמות "</w:t>
      </w:r>
      <w:r w:rsidRPr="002143A8">
        <w:rPr>
          <w:rFonts w:ascii="David" w:hAnsi="David" w:cs="David"/>
          <w:sz w:val="24"/>
          <w:szCs w:val="24"/>
        </w:rPr>
        <w:t>Dark Market</w:t>
      </w:r>
      <w:r w:rsidRPr="002143A8">
        <w:rPr>
          <w:rFonts w:ascii="David" w:hAnsi="David" w:cs="David"/>
          <w:sz w:val="24"/>
          <w:szCs w:val="24"/>
          <w:rtl/>
        </w:rPr>
        <w:t>";</w:t>
      </w:r>
    </w:p>
    <w:p w:rsidR="007F31D4" w:rsidRPr="002143A8" w:rsidRDefault="002032B1" w:rsidP="00845397">
      <w:pPr>
        <w:pStyle w:val="a3"/>
        <w:numPr>
          <w:ilvl w:val="0"/>
          <w:numId w:val="3"/>
        </w:numPr>
        <w:spacing w:line="360" w:lineRule="auto"/>
        <w:jc w:val="both"/>
        <w:rPr>
          <w:rFonts w:ascii="David" w:hAnsi="David" w:cs="David"/>
          <w:sz w:val="24"/>
          <w:szCs w:val="24"/>
        </w:rPr>
      </w:pPr>
      <w:r w:rsidRPr="002143A8">
        <w:rPr>
          <w:rFonts w:ascii="David" w:hAnsi="David" w:cs="David"/>
          <w:sz w:val="24"/>
          <w:szCs w:val="24"/>
          <w:rtl/>
        </w:rPr>
        <w:t xml:space="preserve">כתובת ה- </w:t>
      </w:r>
      <w:r w:rsidRPr="002143A8">
        <w:rPr>
          <w:rFonts w:ascii="David" w:hAnsi="David" w:cs="David"/>
          <w:sz w:val="24"/>
          <w:szCs w:val="24"/>
        </w:rPr>
        <w:t>IP</w:t>
      </w:r>
      <w:r w:rsidRPr="002143A8">
        <w:rPr>
          <w:rFonts w:ascii="David" w:hAnsi="David" w:cs="David"/>
          <w:sz w:val="24"/>
          <w:szCs w:val="24"/>
          <w:rtl/>
        </w:rPr>
        <w:t xml:space="preserve"> אינה תואמת את המידע בדבר מאפייני </w:t>
      </w:r>
      <w:r w:rsidR="00A9319C">
        <w:rPr>
          <w:rFonts w:ascii="David" w:hAnsi="David" w:cs="David" w:hint="cs"/>
          <w:sz w:val="24"/>
          <w:szCs w:val="24"/>
          <w:rtl/>
        </w:rPr>
        <w:t>מקבל השירות</w:t>
      </w:r>
      <w:r w:rsidRPr="002143A8">
        <w:rPr>
          <w:rFonts w:ascii="David" w:hAnsi="David" w:cs="David"/>
          <w:sz w:val="24"/>
          <w:szCs w:val="24"/>
          <w:rtl/>
        </w:rPr>
        <w:t xml:space="preserve">, מעבר תכוף בין כתובות </w:t>
      </w:r>
      <w:r w:rsidRPr="002143A8">
        <w:rPr>
          <w:rFonts w:ascii="David" w:hAnsi="David" w:cs="David"/>
          <w:sz w:val="24"/>
          <w:szCs w:val="24"/>
        </w:rPr>
        <w:t>IP</w:t>
      </w:r>
      <w:r w:rsidRPr="002143A8">
        <w:rPr>
          <w:rFonts w:ascii="David" w:hAnsi="David" w:cs="David"/>
          <w:sz w:val="24"/>
          <w:szCs w:val="24"/>
          <w:rtl/>
        </w:rPr>
        <w:t xml:space="preserve"> או שימוש באמצעים להסוואת אזור ההתחברות או כתובת ה-</w:t>
      </w:r>
      <w:r w:rsidRPr="002143A8">
        <w:rPr>
          <w:rFonts w:ascii="David" w:hAnsi="David" w:cs="David"/>
          <w:sz w:val="24"/>
          <w:szCs w:val="24"/>
        </w:rPr>
        <w:t>IP</w:t>
      </w:r>
      <w:r w:rsidRPr="002143A8">
        <w:rPr>
          <w:rFonts w:ascii="David" w:hAnsi="David" w:cs="David"/>
          <w:sz w:val="24"/>
          <w:szCs w:val="24"/>
          <w:rtl/>
        </w:rPr>
        <w:t>, והכל בלא הסבר סביר.</w:t>
      </w:r>
    </w:p>
    <w:p w:rsidR="00784556" w:rsidRDefault="00784556" w:rsidP="00845397">
      <w:pPr>
        <w:spacing w:line="360" w:lineRule="auto"/>
        <w:jc w:val="both"/>
        <w:rPr>
          <w:rFonts w:ascii="David" w:hAnsi="David"/>
          <w:b/>
          <w:bCs/>
          <w:rtl/>
        </w:rPr>
      </w:pPr>
    </w:p>
    <w:p w:rsidR="00784556" w:rsidRDefault="00784556" w:rsidP="00845397">
      <w:pPr>
        <w:spacing w:line="360" w:lineRule="auto"/>
        <w:jc w:val="both"/>
        <w:rPr>
          <w:rFonts w:ascii="David" w:hAnsi="David"/>
          <w:b/>
          <w:bCs/>
          <w:rtl/>
        </w:rPr>
      </w:pPr>
    </w:p>
    <w:p w:rsidR="00F52254" w:rsidRDefault="002032B1" w:rsidP="00845397">
      <w:pPr>
        <w:spacing w:line="360" w:lineRule="auto"/>
        <w:jc w:val="both"/>
        <w:rPr>
          <w:rFonts w:ascii="David" w:hAnsi="David"/>
          <w:b/>
          <w:bCs/>
          <w:rtl/>
        </w:rPr>
      </w:pPr>
      <w:r>
        <w:rPr>
          <w:rFonts w:ascii="David" w:hAnsi="David" w:hint="cs"/>
          <w:b/>
          <w:bCs/>
          <w:rtl/>
        </w:rPr>
        <w:lastRenderedPageBreak/>
        <w:t>דגשים</w:t>
      </w:r>
    </w:p>
    <w:p w:rsidR="00A45E67" w:rsidRPr="00304411" w:rsidRDefault="002032B1" w:rsidP="00845397">
      <w:pPr>
        <w:pStyle w:val="a3"/>
        <w:numPr>
          <w:ilvl w:val="0"/>
          <w:numId w:val="11"/>
        </w:numPr>
        <w:spacing w:line="360" w:lineRule="auto"/>
        <w:jc w:val="both"/>
        <w:rPr>
          <w:rFonts w:ascii="David" w:hAnsi="David" w:cs="David"/>
          <w:sz w:val="24"/>
          <w:szCs w:val="24"/>
          <w:rtl/>
        </w:rPr>
      </w:pPr>
      <w:r w:rsidRPr="00304411">
        <w:rPr>
          <w:rFonts w:ascii="David" w:hAnsi="David" w:cs="David"/>
          <w:sz w:val="24"/>
          <w:szCs w:val="24"/>
          <w:rtl/>
        </w:rPr>
        <w:t>נותן השירות נדרש לדווח גם על כל ניסיון לביצוע פעולה.</w:t>
      </w:r>
    </w:p>
    <w:p w:rsidR="00A45E67" w:rsidRDefault="002032B1" w:rsidP="00845397">
      <w:pPr>
        <w:pStyle w:val="a3"/>
        <w:numPr>
          <w:ilvl w:val="0"/>
          <w:numId w:val="11"/>
        </w:numPr>
        <w:spacing w:line="360" w:lineRule="auto"/>
        <w:jc w:val="both"/>
        <w:rPr>
          <w:rFonts w:ascii="David" w:hAnsi="David"/>
        </w:rPr>
      </w:pPr>
      <w:r w:rsidRPr="00304411">
        <w:rPr>
          <w:rFonts w:ascii="David" w:hAnsi="David" w:cs="David"/>
          <w:sz w:val="24"/>
          <w:szCs w:val="24"/>
          <w:rtl/>
        </w:rPr>
        <w:t>יודגש כי העברת דיווח רגיל אינו פוטר את נותן השירות מהחובה להעביר דיווח בלתי רגיל.</w:t>
      </w:r>
    </w:p>
    <w:tbl>
      <w:tblPr>
        <w:tblStyle w:val="ad"/>
        <w:bidiVisual/>
        <w:tblW w:w="0" w:type="auto"/>
        <w:tblLook w:val="04A0" w:firstRow="1" w:lastRow="0" w:firstColumn="1" w:lastColumn="0" w:noHBand="0" w:noVBand="1"/>
      </w:tblPr>
      <w:tblGrid>
        <w:gridCol w:w="8296"/>
      </w:tblGrid>
      <w:tr w:rsidR="00424B4C" w:rsidTr="00174A1B">
        <w:tc>
          <w:tcPr>
            <w:tcW w:w="8296" w:type="dxa"/>
            <w:tcBorders>
              <w:top w:val="nil"/>
              <w:left w:val="nil"/>
              <w:bottom w:val="nil"/>
              <w:right w:val="nil"/>
            </w:tcBorders>
            <w:shd w:val="clear" w:color="auto" w:fill="0070C0"/>
          </w:tcPr>
          <w:p w:rsidR="00174A1B" w:rsidRPr="00174A1B" w:rsidRDefault="002032B1" w:rsidP="00845397">
            <w:pPr>
              <w:pStyle w:val="2"/>
              <w:spacing w:line="360" w:lineRule="auto"/>
              <w:outlineLvl w:val="1"/>
              <w:rPr>
                <w:rFonts w:asciiTheme="minorHAnsi" w:hAnsiTheme="minorHAnsi"/>
                <w:rtl/>
              </w:rPr>
            </w:pPr>
            <w:bookmarkStart w:id="13" w:name="_Toc85982161"/>
            <w:r w:rsidRPr="00976621">
              <w:rPr>
                <w:rFonts w:ascii="David" w:hAnsi="David" w:cs="David" w:hint="cs"/>
                <w:rtl/>
              </w:rPr>
              <w:t>11.</w:t>
            </w:r>
            <w:r w:rsidRPr="00976621">
              <w:rPr>
                <w:rFonts w:ascii="David" w:hAnsi="David" w:cs="David" w:hint="cs"/>
              </w:rPr>
              <w:t xml:space="preserve"> </w:t>
            </w:r>
            <w:r w:rsidRPr="00976621">
              <w:rPr>
                <w:rFonts w:ascii="David" w:hAnsi="David" w:cs="David" w:hint="cs"/>
                <w:rtl/>
              </w:rPr>
              <w:t xml:space="preserve">פרטי דיווח </w:t>
            </w:r>
            <w:r w:rsidRPr="00976621">
              <w:rPr>
                <w:rFonts w:ascii="David" w:hAnsi="David" w:cs="David"/>
                <w:rtl/>
              </w:rPr>
              <w:t>–</w:t>
            </w:r>
            <w:r w:rsidRPr="00976621">
              <w:rPr>
                <w:rFonts w:ascii="David" w:hAnsi="David" w:cs="David" w:hint="cs"/>
                <w:rtl/>
              </w:rPr>
              <w:t xml:space="preserve"> סעיף 12 לצו</w:t>
            </w:r>
            <w:bookmarkEnd w:id="13"/>
          </w:p>
        </w:tc>
      </w:tr>
    </w:tbl>
    <w:p w:rsidR="007F31D4" w:rsidRDefault="002032B1" w:rsidP="00845397">
      <w:pPr>
        <w:spacing w:before="240" w:line="360" w:lineRule="auto"/>
        <w:jc w:val="both"/>
        <w:rPr>
          <w:rtl/>
        </w:rPr>
      </w:pPr>
      <w:r>
        <w:rPr>
          <w:rFonts w:hint="cs"/>
          <w:rtl/>
        </w:rPr>
        <w:t>סעיף 12 לצו קובע את פרטי הדיווח שיש לכלול בדיווח לרשות לאיסור הלבנת הון ומימון טרור לפי סעיף 11 לצו. במסגרת התיקון לצו נוספו פרטי דיווח חדשים הנוגעים לפעילות בנכסים וירטואליים.</w:t>
      </w:r>
    </w:p>
    <w:p w:rsidR="00440CED" w:rsidRDefault="002032B1" w:rsidP="00845397">
      <w:pPr>
        <w:spacing w:line="360" w:lineRule="auto"/>
        <w:jc w:val="both"/>
        <w:rPr>
          <w:rFonts w:ascii="David" w:hAnsi="David"/>
          <w:rtl/>
        </w:rPr>
      </w:pPr>
      <w:r>
        <w:rPr>
          <w:rtl/>
        </w:rPr>
        <w:t>בהתאם לתקנה 6(ב</w:t>
      </w:r>
      <w:r>
        <w:rPr>
          <w:rFonts w:hint="cs"/>
          <w:rtl/>
        </w:rPr>
        <w:t>)</w:t>
      </w:r>
      <w:r>
        <w:rPr>
          <w:rtl/>
        </w:rPr>
        <w:t xml:space="preserve"> לתקנות איסור הלבנת הון </w:t>
      </w:r>
      <w:r>
        <w:rPr>
          <w:rFonts w:hint="cs"/>
          <w:rtl/>
        </w:rPr>
        <w:t>(</w:t>
      </w:r>
      <w:r>
        <w:rPr>
          <w:rtl/>
        </w:rPr>
        <w:t>דרכים ומועדים להעברת דיווח של תאגידים בנקאיים והגופים המפורטים בתוספת השלישית לחוק, למאגר המידע</w:t>
      </w:r>
      <w:r>
        <w:rPr>
          <w:rFonts w:hint="cs"/>
          <w:rtl/>
        </w:rPr>
        <w:t xml:space="preserve">), </w:t>
      </w:r>
      <w:r>
        <w:rPr>
          <w:rtl/>
        </w:rPr>
        <w:t>התשס"ב-2002</w:t>
      </w:r>
      <w:r>
        <w:rPr>
          <w:rFonts w:hint="cs"/>
          <w:rtl/>
        </w:rPr>
        <w:t>,</w:t>
      </w:r>
      <w:r>
        <w:rPr>
          <w:rtl/>
        </w:rPr>
        <w:t xml:space="preserve"> פרסמה הרשות הנחיות </w:t>
      </w:r>
      <w:r w:rsidR="0077431A">
        <w:rPr>
          <w:rFonts w:hint="cs"/>
          <w:rtl/>
        </w:rPr>
        <w:t>דיווח לדיווחי נותני שירות בנכס פיננסי ונותני שירותי אשראי.</w:t>
      </w:r>
      <w:r>
        <w:rPr>
          <w:rFonts w:ascii="David" w:hAnsi="David" w:hint="cs"/>
          <w:rtl/>
        </w:rPr>
        <w:t xml:space="preserve"> </w:t>
      </w:r>
      <w:r w:rsidRPr="004C5323">
        <w:rPr>
          <w:rFonts w:ascii="David" w:hAnsi="David" w:hint="cs"/>
          <w:rtl/>
        </w:rPr>
        <w:t>ההנחיות</w:t>
      </w:r>
      <w:r w:rsidRPr="004C5323">
        <w:rPr>
          <w:rFonts w:ascii="David" w:hAnsi="David"/>
          <w:rtl/>
        </w:rPr>
        <w:t xml:space="preserve"> </w:t>
      </w:r>
      <w:r w:rsidRPr="004C5323">
        <w:rPr>
          <w:rFonts w:ascii="David" w:hAnsi="David" w:hint="cs"/>
          <w:rtl/>
        </w:rPr>
        <w:t>יכנסו</w:t>
      </w:r>
      <w:r w:rsidRPr="004C5323">
        <w:rPr>
          <w:rFonts w:ascii="David" w:hAnsi="David"/>
          <w:rtl/>
        </w:rPr>
        <w:t xml:space="preserve"> </w:t>
      </w:r>
      <w:r w:rsidRPr="004C5323">
        <w:rPr>
          <w:rFonts w:ascii="David" w:hAnsi="David" w:hint="cs"/>
          <w:rtl/>
        </w:rPr>
        <w:t>לתוקף</w:t>
      </w:r>
      <w:r w:rsidRPr="004C5323">
        <w:rPr>
          <w:rFonts w:ascii="David" w:hAnsi="David"/>
          <w:rtl/>
        </w:rPr>
        <w:t xml:space="preserve"> </w:t>
      </w:r>
      <w:r w:rsidRPr="004C5323">
        <w:rPr>
          <w:rFonts w:ascii="David" w:hAnsi="David" w:hint="cs"/>
          <w:rtl/>
        </w:rPr>
        <w:t>ביום</w:t>
      </w:r>
      <w:r w:rsidRPr="004C5323">
        <w:rPr>
          <w:rFonts w:ascii="David" w:hAnsi="David"/>
          <w:rtl/>
        </w:rPr>
        <w:t xml:space="preserve"> </w:t>
      </w:r>
      <w:r w:rsidRPr="004C5323">
        <w:rPr>
          <w:rFonts w:ascii="David" w:hAnsi="David" w:hint="cs"/>
          <w:rtl/>
        </w:rPr>
        <w:t>כניסתו</w:t>
      </w:r>
      <w:r w:rsidRPr="004C5323">
        <w:rPr>
          <w:rFonts w:ascii="David" w:hAnsi="David"/>
          <w:rtl/>
        </w:rPr>
        <w:t xml:space="preserve"> </w:t>
      </w:r>
      <w:r w:rsidRPr="004C5323">
        <w:rPr>
          <w:rFonts w:ascii="David" w:hAnsi="David" w:hint="cs"/>
          <w:rtl/>
        </w:rPr>
        <w:t>לתוקף</w:t>
      </w:r>
      <w:r w:rsidRPr="004C5323">
        <w:rPr>
          <w:rFonts w:ascii="David" w:hAnsi="David"/>
          <w:rtl/>
        </w:rPr>
        <w:t xml:space="preserve"> </w:t>
      </w:r>
      <w:r w:rsidRPr="004C5323">
        <w:rPr>
          <w:rFonts w:ascii="David" w:hAnsi="David" w:hint="cs"/>
          <w:rtl/>
        </w:rPr>
        <w:t>של</w:t>
      </w:r>
      <w:r w:rsidRPr="004C5323">
        <w:rPr>
          <w:rFonts w:ascii="David" w:hAnsi="David"/>
          <w:rtl/>
        </w:rPr>
        <w:t xml:space="preserve"> </w:t>
      </w:r>
      <w:r w:rsidRPr="004C5323">
        <w:rPr>
          <w:rFonts w:ascii="David" w:hAnsi="David" w:hint="cs"/>
          <w:rtl/>
        </w:rPr>
        <w:t>הצו,</w:t>
      </w:r>
      <w:r w:rsidRPr="004C5323">
        <w:rPr>
          <w:rFonts w:ascii="David" w:hAnsi="David"/>
          <w:rtl/>
        </w:rPr>
        <w:t xml:space="preserve"> </w:t>
      </w:r>
      <w:r w:rsidRPr="004C5323">
        <w:rPr>
          <w:rFonts w:ascii="David" w:hAnsi="David" w:hint="cs"/>
          <w:rtl/>
        </w:rPr>
        <w:t>למעט</w:t>
      </w:r>
      <w:r w:rsidRPr="004C5323">
        <w:rPr>
          <w:rFonts w:ascii="David" w:hAnsi="David"/>
          <w:rtl/>
        </w:rPr>
        <w:t xml:space="preserve"> </w:t>
      </w:r>
      <w:r w:rsidRPr="004C5323">
        <w:rPr>
          <w:rFonts w:ascii="David" w:hAnsi="David" w:hint="cs"/>
          <w:rtl/>
        </w:rPr>
        <w:t>לגבי</w:t>
      </w:r>
      <w:r w:rsidRPr="004C5323">
        <w:rPr>
          <w:rFonts w:ascii="David" w:hAnsi="David"/>
          <w:rtl/>
        </w:rPr>
        <w:t xml:space="preserve"> </w:t>
      </w:r>
      <w:r w:rsidRPr="004C5323">
        <w:rPr>
          <w:rFonts w:ascii="David" w:hAnsi="David" w:hint="cs"/>
          <w:rtl/>
        </w:rPr>
        <w:t>נותני</w:t>
      </w:r>
      <w:r w:rsidRPr="004C5323">
        <w:rPr>
          <w:rFonts w:ascii="David" w:hAnsi="David"/>
          <w:rtl/>
        </w:rPr>
        <w:t xml:space="preserve"> </w:t>
      </w:r>
      <w:r w:rsidRPr="004C5323">
        <w:rPr>
          <w:rFonts w:ascii="David" w:hAnsi="David" w:hint="cs"/>
          <w:rtl/>
        </w:rPr>
        <w:t>שירות</w:t>
      </w:r>
      <w:r w:rsidRPr="004C5323">
        <w:rPr>
          <w:rFonts w:ascii="David" w:hAnsi="David"/>
          <w:rtl/>
        </w:rPr>
        <w:t xml:space="preserve"> </w:t>
      </w:r>
      <w:r w:rsidRPr="004C5323">
        <w:rPr>
          <w:rFonts w:ascii="David" w:hAnsi="David" w:hint="cs"/>
          <w:rtl/>
        </w:rPr>
        <w:t>פיננסי</w:t>
      </w:r>
      <w:r w:rsidRPr="004C5323">
        <w:rPr>
          <w:rFonts w:ascii="David" w:hAnsi="David"/>
          <w:rtl/>
        </w:rPr>
        <w:t xml:space="preserve"> </w:t>
      </w:r>
      <w:r w:rsidRPr="004C5323">
        <w:rPr>
          <w:rFonts w:ascii="David" w:hAnsi="David" w:hint="cs"/>
          <w:rtl/>
        </w:rPr>
        <w:t>שהודיעו</w:t>
      </w:r>
      <w:r w:rsidRPr="004C5323">
        <w:rPr>
          <w:rFonts w:ascii="David" w:hAnsi="David"/>
          <w:rtl/>
        </w:rPr>
        <w:t xml:space="preserve"> </w:t>
      </w:r>
      <w:r w:rsidRPr="004C5323">
        <w:rPr>
          <w:rFonts w:ascii="David" w:hAnsi="David" w:hint="cs"/>
          <w:rtl/>
        </w:rPr>
        <w:t>לרשות</w:t>
      </w:r>
      <w:r w:rsidRPr="004C5323">
        <w:rPr>
          <w:rFonts w:ascii="David" w:hAnsi="David"/>
          <w:rtl/>
        </w:rPr>
        <w:t xml:space="preserve"> </w:t>
      </w:r>
      <w:r w:rsidRPr="004C5323">
        <w:rPr>
          <w:rFonts w:ascii="David" w:hAnsi="David" w:hint="cs"/>
          <w:rtl/>
        </w:rPr>
        <w:t>שוק</w:t>
      </w:r>
      <w:r w:rsidRPr="004C5323">
        <w:rPr>
          <w:rFonts w:ascii="David" w:hAnsi="David"/>
          <w:rtl/>
        </w:rPr>
        <w:t xml:space="preserve"> </w:t>
      </w:r>
      <w:r w:rsidRPr="004C5323">
        <w:rPr>
          <w:rFonts w:ascii="David" w:hAnsi="David" w:hint="cs"/>
          <w:rtl/>
        </w:rPr>
        <w:t>ההון</w:t>
      </w:r>
      <w:r w:rsidRPr="004C5323">
        <w:rPr>
          <w:rFonts w:ascii="David" w:hAnsi="David"/>
          <w:rtl/>
        </w:rPr>
        <w:t xml:space="preserve"> </w:t>
      </w:r>
      <w:r w:rsidRPr="004C5323">
        <w:rPr>
          <w:rFonts w:ascii="David" w:hAnsi="David" w:hint="cs"/>
          <w:rtl/>
        </w:rPr>
        <w:t>שהם</w:t>
      </w:r>
      <w:r w:rsidRPr="004C5323">
        <w:rPr>
          <w:rFonts w:ascii="David" w:hAnsi="David"/>
          <w:rtl/>
        </w:rPr>
        <w:t xml:space="preserve"> </w:t>
      </w:r>
      <w:r w:rsidRPr="004C5323">
        <w:rPr>
          <w:rFonts w:ascii="David" w:hAnsi="David" w:hint="cs"/>
          <w:rtl/>
        </w:rPr>
        <w:t>מחילים</w:t>
      </w:r>
      <w:r w:rsidRPr="004C5323">
        <w:rPr>
          <w:rFonts w:ascii="David" w:hAnsi="David"/>
          <w:rtl/>
        </w:rPr>
        <w:t xml:space="preserve"> </w:t>
      </w:r>
      <w:r w:rsidRPr="004C5323">
        <w:rPr>
          <w:rFonts w:ascii="David" w:hAnsi="David" w:hint="cs"/>
          <w:rtl/>
        </w:rPr>
        <w:t>על</w:t>
      </w:r>
      <w:r w:rsidRPr="004C5323">
        <w:rPr>
          <w:rFonts w:ascii="David" w:hAnsi="David"/>
          <w:rtl/>
        </w:rPr>
        <w:t xml:space="preserve"> </w:t>
      </w:r>
      <w:r w:rsidRPr="004C5323">
        <w:rPr>
          <w:rFonts w:ascii="David" w:hAnsi="David" w:hint="cs"/>
          <w:rtl/>
        </w:rPr>
        <w:t>עצמם</w:t>
      </w:r>
      <w:r w:rsidRPr="004C5323">
        <w:rPr>
          <w:rFonts w:ascii="David" w:hAnsi="David"/>
          <w:rtl/>
        </w:rPr>
        <w:t xml:space="preserve"> </w:t>
      </w:r>
      <w:r w:rsidRPr="004C5323">
        <w:rPr>
          <w:rFonts w:ascii="David" w:hAnsi="David" w:hint="cs"/>
          <w:rtl/>
        </w:rPr>
        <w:t>את</w:t>
      </w:r>
      <w:r w:rsidRPr="004C5323">
        <w:rPr>
          <w:rFonts w:ascii="David" w:hAnsi="David"/>
          <w:rtl/>
        </w:rPr>
        <w:t xml:space="preserve"> </w:t>
      </w:r>
      <w:r w:rsidRPr="004C5323">
        <w:rPr>
          <w:rFonts w:ascii="David" w:hAnsi="David" w:hint="cs"/>
          <w:rtl/>
        </w:rPr>
        <w:t>הוראות</w:t>
      </w:r>
      <w:r w:rsidRPr="004C5323">
        <w:rPr>
          <w:rFonts w:ascii="David" w:hAnsi="David"/>
          <w:rtl/>
        </w:rPr>
        <w:t xml:space="preserve"> </w:t>
      </w:r>
      <w:r w:rsidRPr="004C5323">
        <w:rPr>
          <w:rFonts w:ascii="David" w:hAnsi="David" w:hint="cs"/>
          <w:rtl/>
        </w:rPr>
        <w:t>הצו</w:t>
      </w:r>
      <w:r w:rsidRPr="004C5323">
        <w:rPr>
          <w:rFonts w:ascii="David" w:hAnsi="David"/>
          <w:rtl/>
        </w:rPr>
        <w:t xml:space="preserve"> </w:t>
      </w:r>
      <w:r w:rsidRPr="004C5323">
        <w:rPr>
          <w:rFonts w:ascii="David" w:hAnsi="David" w:hint="cs"/>
          <w:rtl/>
        </w:rPr>
        <w:t>במועד</w:t>
      </w:r>
      <w:r w:rsidRPr="004C5323">
        <w:rPr>
          <w:rFonts w:ascii="David" w:hAnsi="David"/>
          <w:rtl/>
        </w:rPr>
        <w:t xml:space="preserve"> </w:t>
      </w:r>
      <w:r w:rsidRPr="004C5323">
        <w:rPr>
          <w:rFonts w:ascii="David" w:hAnsi="David" w:hint="cs"/>
          <w:rtl/>
        </w:rPr>
        <w:t>מוקדם</w:t>
      </w:r>
      <w:r w:rsidRPr="004C5323">
        <w:rPr>
          <w:rFonts w:ascii="David" w:hAnsi="David"/>
          <w:rtl/>
        </w:rPr>
        <w:t xml:space="preserve"> </w:t>
      </w:r>
      <w:r w:rsidRPr="004C5323">
        <w:rPr>
          <w:rFonts w:ascii="David" w:hAnsi="David" w:hint="cs"/>
          <w:rtl/>
        </w:rPr>
        <w:t>יותר</w:t>
      </w:r>
      <w:r w:rsidRPr="004C5323">
        <w:rPr>
          <w:rFonts w:ascii="David" w:hAnsi="David"/>
          <w:rtl/>
        </w:rPr>
        <w:t>.</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174A1B">
        <w:tc>
          <w:tcPr>
            <w:tcW w:w="8296" w:type="dxa"/>
            <w:shd w:val="clear" w:color="auto" w:fill="0070C0"/>
          </w:tcPr>
          <w:p w:rsidR="00174A1B" w:rsidRDefault="002032B1" w:rsidP="00845397">
            <w:pPr>
              <w:pStyle w:val="2"/>
              <w:spacing w:line="360" w:lineRule="auto"/>
              <w:outlineLvl w:val="1"/>
              <w:rPr>
                <w:rtl/>
              </w:rPr>
            </w:pPr>
            <w:bookmarkStart w:id="14" w:name="_Toc85982162"/>
            <w:r w:rsidRPr="00976621">
              <w:rPr>
                <w:rFonts w:ascii="David" w:hAnsi="David" w:cs="David" w:hint="cs"/>
                <w:rtl/>
              </w:rPr>
              <w:t xml:space="preserve">12. איסור גילוי ועיון </w:t>
            </w:r>
            <w:r w:rsidRPr="00976621">
              <w:rPr>
                <w:rFonts w:ascii="David" w:hAnsi="David" w:cs="David"/>
                <w:rtl/>
              </w:rPr>
              <w:t>–</w:t>
            </w:r>
            <w:r w:rsidRPr="00976621">
              <w:rPr>
                <w:rFonts w:ascii="David" w:hAnsi="David" w:cs="David" w:hint="cs"/>
                <w:rtl/>
              </w:rPr>
              <w:t xml:space="preserve"> סעיף 13 לצו</w:t>
            </w:r>
            <w:bookmarkEnd w:id="14"/>
          </w:p>
        </w:tc>
      </w:tr>
    </w:tbl>
    <w:p w:rsidR="007F31D4" w:rsidRDefault="002032B1" w:rsidP="00845397">
      <w:pPr>
        <w:spacing w:before="240" w:line="360" w:lineRule="auto"/>
        <w:jc w:val="both"/>
        <w:rPr>
          <w:rtl/>
        </w:rPr>
      </w:pPr>
      <w:r>
        <w:rPr>
          <w:rFonts w:hint="cs"/>
          <w:rtl/>
        </w:rPr>
        <w:t xml:space="preserve">במצב שבו נותן שירות העביר, או נדרש להעביר דיווח בלתי רגיל לרשות, חל עליו איסור לגלות אף פרט הקשור לדיווח. נותן השירות יהיה רשאי לגלות מידע זה או לאפשר מתן עיון למי </w:t>
      </w:r>
      <w:r w:rsidR="004C1650">
        <w:rPr>
          <w:rFonts w:hint="cs"/>
          <w:rtl/>
        </w:rPr>
        <w:t>שמוסמך לכך לצורך מילוי תפקידו אצל</w:t>
      </w:r>
      <w:r>
        <w:rPr>
          <w:rFonts w:hint="cs"/>
          <w:rtl/>
        </w:rPr>
        <w:t xml:space="preserve"> נותן השירות, לממונה, לרשות לאיסור הלבנת הון ומימון טרור או לפי צו בית משפט.</w:t>
      </w:r>
    </w:p>
    <w:p w:rsidR="007F31D4" w:rsidRDefault="002032B1" w:rsidP="00845397">
      <w:pPr>
        <w:spacing w:line="360" w:lineRule="auto"/>
        <w:jc w:val="both"/>
        <w:rPr>
          <w:rtl/>
        </w:rPr>
      </w:pPr>
      <w:r>
        <w:rPr>
          <w:rFonts w:hint="cs"/>
          <w:rtl/>
        </w:rPr>
        <w:t>בנוסף, אם התעורר חשש להלבנת הון או למימון טרור אצל נותן השירות בנוגע למקבל השירות</w:t>
      </w:r>
      <w:r w:rsidR="0077431A">
        <w:rPr>
          <w:rFonts w:hint="cs"/>
          <w:rtl/>
        </w:rPr>
        <w:t>, מסמכי הזיהוי</w:t>
      </w:r>
      <w:r>
        <w:rPr>
          <w:rFonts w:hint="cs"/>
          <w:rtl/>
        </w:rPr>
        <w:t xml:space="preserve"> או הפעילות המתבקשת, שבמצב רגיל היה מוביל את נותן הש</w:t>
      </w:r>
      <w:r w:rsidR="004C1650">
        <w:rPr>
          <w:rFonts w:hint="cs"/>
          <w:rtl/>
        </w:rPr>
        <w:t>י</w:t>
      </w:r>
      <w:r>
        <w:rPr>
          <w:rFonts w:hint="cs"/>
          <w:rtl/>
        </w:rPr>
        <w:t>רות לבטל את הפטורים או ההקלות לפי הצו, אך הוא חושש שביטולם יעוררו את החשד של מקבל השירות, רשאי נותן השירות לא לבטלם ולהעביר דיווח לרשות על החשש.</w:t>
      </w:r>
      <w:r w:rsidR="0077431A">
        <w:rPr>
          <w:rFonts w:hint="cs"/>
          <w:rtl/>
        </w:rPr>
        <w:t xml:space="preserve"> </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174A1B">
        <w:tc>
          <w:tcPr>
            <w:tcW w:w="8296" w:type="dxa"/>
            <w:shd w:val="clear" w:color="auto" w:fill="0070C0"/>
          </w:tcPr>
          <w:p w:rsidR="00174A1B" w:rsidRPr="00976621" w:rsidRDefault="002032B1" w:rsidP="00845397">
            <w:pPr>
              <w:pStyle w:val="2"/>
              <w:spacing w:line="360" w:lineRule="auto"/>
              <w:outlineLvl w:val="1"/>
              <w:rPr>
                <w:rFonts w:ascii="David" w:hAnsi="David" w:cs="David"/>
                <w:rtl/>
              </w:rPr>
            </w:pPr>
            <w:bookmarkStart w:id="15" w:name="_Toc85982163"/>
            <w:r w:rsidRPr="00976621">
              <w:rPr>
                <w:rFonts w:ascii="David" w:hAnsi="David" w:cs="David" w:hint="cs"/>
                <w:rtl/>
              </w:rPr>
              <w:t xml:space="preserve">13. בדיקה מול הרשימות </w:t>
            </w:r>
            <w:r w:rsidRPr="00976621">
              <w:rPr>
                <w:rFonts w:ascii="David" w:hAnsi="David" w:cs="David"/>
                <w:rtl/>
              </w:rPr>
              <w:t>–</w:t>
            </w:r>
            <w:r w:rsidRPr="00976621">
              <w:rPr>
                <w:rFonts w:ascii="David" w:hAnsi="David" w:cs="David" w:hint="cs"/>
                <w:rtl/>
              </w:rPr>
              <w:t xml:space="preserve"> סעיף 14 לצו</w:t>
            </w:r>
            <w:bookmarkEnd w:id="15"/>
          </w:p>
        </w:tc>
      </w:tr>
    </w:tbl>
    <w:p w:rsidR="007F31D4" w:rsidRDefault="002032B1" w:rsidP="00845397">
      <w:pPr>
        <w:spacing w:before="240" w:line="360" w:lineRule="auto"/>
        <w:jc w:val="both"/>
        <w:rPr>
          <w:rtl/>
        </w:rPr>
      </w:pPr>
      <w:r>
        <w:rPr>
          <w:rFonts w:hint="cs"/>
          <w:rtl/>
        </w:rPr>
        <w:t>נותן שירות נדרש לוודא כי אינו מבצע פעולה עבור גורם המנוי על רשימות הטרור המפורסמות מכוח סעיף 18 לחוק המאבק בטרור</w:t>
      </w:r>
      <w:r w:rsidR="004C1650">
        <w:rPr>
          <w:rFonts w:hint="cs"/>
          <w:rtl/>
        </w:rPr>
        <w:t>, תשע"ו-2016</w:t>
      </w:r>
      <w:r>
        <w:rPr>
          <w:rFonts w:hint="cs"/>
          <w:rtl/>
        </w:rPr>
        <w:t xml:space="preserve"> ומכוח סעיפים 3 או 4 לחוק למניעת הפ</w:t>
      </w:r>
      <w:r w:rsidR="004C1650">
        <w:rPr>
          <w:rFonts w:hint="cs"/>
          <w:rtl/>
        </w:rPr>
        <w:t xml:space="preserve">צה ומימון של נשק להשמדה המונית </w:t>
      </w:r>
      <w:r>
        <w:rPr>
          <w:rFonts w:hint="cs"/>
          <w:rtl/>
        </w:rPr>
        <w:t>תשע"ח-2018.</w:t>
      </w:r>
    </w:p>
    <w:p w:rsidR="007F31D4" w:rsidRDefault="002032B1" w:rsidP="00845397">
      <w:pPr>
        <w:spacing w:line="360" w:lineRule="auto"/>
        <w:jc w:val="both"/>
        <w:rPr>
          <w:rtl/>
        </w:rPr>
      </w:pPr>
      <w:r>
        <w:rPr>
          <w:rFonts w:hint="cs"/>
          <w:rtl/>
        </w:rPr>
        <w:t xml:space="preserve">לצורך כך, נותן השירות נדרש לבדוק אם </w:t>
      </w:r>
      <w:r w:rsidRPr="002470E7">
        <w:rPr>
          <w:rtl/>
        </w:rPr>
        <w:t xml:space="preserve">שם או מספר זהות של </w:t>
      </w:r>
      <w:r>
        <w:rPr>
          <w:rFonts w:hint="cs"/>
          <w:rtl/>
        </w:rPr>
        <w:t xml:space="preserve">כל </w:t>
      </w:r>
      <w:r w:rsidRPr="002470E7">
        <w:rPr>
          <w:rtl/>
        </w:rPr>
        <w:t>מקבל שירות, מיופה כח, נהנה או בעל שליטה נמצאים ברשימות</w:t>
      </w:r>
      <w:r>
        <w:rPr>
          <w:rFonts w:hint="cs"/>
          <w:rtl/>
        </w:rPr>
        <w:t xml:space="preserve"> אלו. כמו כן, בביצוע העברה בין-לאומית, ובכל העברה של מטבע וירטואלי, על </w:t>
      </w:r>
      <w:r w:rsidRPr="002470E7">
        <w:rPr>
          <w:rtl/>
        </w:rPr>
        <w:t xml:space="preserve">נותן </w:t>
      </w:r>
      <w:r>
        <w:rPr>
          <w:rFonts w:hint="cs"/>
          <w:rtl/>
        </w:rPr>
        <w:t>ה</w:t>
      </w:r>
      <w:r w:rsidRPr="002470E7">
        <w:rPr>
          <w:rtl/>
        </w:rPr>
        <w:t xml:space="preserve">שירות </w:t>
      </w:r>
      <w:r>
        <w:rPr>
          <w:rFonts w:hint="cs"/>
          <w:rtl/>
        </w:rPr>
        <w:t>ל</w:t>
      </w:r>
      <w:r w:rsidRPr="002470E7">
        <w:rPr>
          <w:rtl/>
        </w:rPr>
        <w:t>בדוק אם צדדים לביצוע פעולה  נמצאים ברשימות</w:t>
      </w:r>
      <w:r>
        <w:rPr>
          <w:rFonts w:hint="cs"/>
          <w:rtl/>
        </w:rPr>
        <w:t>.</w:t>
      </w:r>
    </w:p>
    <w:p w:rsidR="00440CED" w:rsidRDefault="002032B1" w:rsidP="00845397">
      <w:pPr>
        <w:spacing w:line="360" w:lineRule="auto"/>
        <w:jc w:val="both"/>
        <w:rPr>
          <w:rtl/>
        </w:rPr>
      </w:pPr>
      <w:r>
        <w:rPr>
          <w:rFonts w:hint="cs"/>
          <w:rtl/>
        </w:rPr>
        <w:t>נותן השירות נדרש לבצע בדיקה מול הרשימות בכל פעם שהוסף ארגון או אדם לרשימות</w:t>
      </w:r>
      <w:r w:rsidR="00785C2A">
        <w:rPr>
          <w:rFonts w:hint="cs"/>
          <w:rtl/>
        </w:rPr>
        <w:t xml:space="preserve"> ובכל פעם שהוא מבצע פעולה עבור מקבל שירות, גם אם מקבל השירות נבדק אל מול הרשימה בעבר</w:t>
      </w:r>
      <w:r>
        <w:rPr>
          <w:rFonts w:hint="cs"/>
          <w:rtl/>
        </w:rPr>
        <w:t>.</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174A1B">
        <w:tc>
          <w:tcPr>
            <w:tcW w:w="8296" w:type="dxa"/>
            <w:shd w:val="clear" w:color="auto" w:fill="0070C0"/>
          </w:tcPr>
          <w:p w:rsidR="00174A1B" w:rsidRPr="00976621" w:rsidRDefault="002032B1" w:rsidP="00845397">
            <w:pPr>
              <w:pStyle w:val="2"/>
              <w:spacing w:line="360" w:lineRule="auto"/>
              <w:outlineLvl w:val="1"/>
              <w:rPr>
                <w:rFonts w:ascii="David" w:hAnsi="David" w:cs="David"/>
                <w:rtl/>
              </w:rPr>
            </w:pPr>
            <w:bookmarkStart w:id="16" w:name="_Toc85982164"/>
            <w:r w:rsidRPr="00976621">
              <w:rPr>
                <w:rFonts w:ascii="David" w:hAnsi="David" w:cs="David" w:hint="cs"/>
                <w:rtl/>
              </w:rPr>
              <w:lastRenderedPageBreak/>
              <w:t xml:space="preserve">14. קביעת מדיניות </w:t>
            </w:r>
            <w:r w:rsidRPr="00976621">
              <w:rPr>
                <w:rFonts w:ascii="David" w:hAnsi="David" w:cs="David"/>
                <w:rtl/>
              </w:rPr>
              <w:t>–</w:t>
            </w:r>
            <w:r w:rsidRPr="00976621">
              <w:rPr>
                <w:rFonts w:ascii="David" w:hAnsi="David" w:cs="David" w:hint="cs"/>
                <w:rtl/>
              </w:rPr>
              <w:t xml:space="preserve"> סעיף 15 לצו</w:t>
            </w:r>
            <w:bookmarkEnd w:id="16"/>
          </w:p>
        </w:tc>
      </w:tr>
    </w:tbl>
    <w:p w:rsidR="00440CED" w:rsidRDefault="002032B1" w:rsidP="00845397">
      <w:pPr>
        <w:spacing w:before="240" w:line="360" w:lineRule="auto"/>
        <w:jc w:val="both"/>
        <w:rPr>
          <w:rtl/>
        </w:rPr>
      </w:pPr>
      <w:r w:rsidRPr="002470E7">
        <w:rPr>
          <w:rtl/>
        </w:rPr>
        <w:t xml:space="preserve">נותן שירות </w:t>
      </w:r>
      <w:r>
        <w:rPr>
          <w:rFonts w:hint="cs"/>
          <w:rtl/>
        </w:rPr>
        <w:t xml:space="preserve">נדרש </w:t>
      </w:r>
      <w:r w:rsidRPr="002470E7">
        <w:rPr>
          <w:rtl/>
        </w:rPr>
        <w:t>לקבוע מדיניות ניהול סיכונים לרבות בכל הנוגע להליך הכרת הלקוח ומעקב אחר סיכונים הנובעים מטכנולוגיות חדשות, בפרט אלו המאפשרות לבצע פעולה מבלי זיהוי פנים אל פנים</w:t>
      </w:r>
      <w:r>
        <w:rPr>
          <w:rFonts w:hint="cs"/>
          <w:rtl/>
        </w:rPr>
        <w:t>.</w:t>
      </w:r>
      <w:r w:rsidR="005D58C2">
        <w:rPr>
          <w:rFonts w:hint="cs"/>
          <w:rtl/>
        </w:rPr>
        <w:t xml:space="preserve"> נותן שירות נדרש לפעול לפי חוזר לנותני שירותים פיננסיים בנושא התקשרות מרחוק עם מקבל שירות באופן מקוון שפרסמה רשות שוק ההון, ביטוח וחיסכון.</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174A1B">
        <w:tc>
          <w:tcPr>
            <w:tcW w:w="8296" w:type="dxa"/>
            <w:shd w:val="clear" w:color="auto" w:fill="0070C0"/>
          </w:tcPr>
          <w:p w:rsidR="00174A1B" w:rsidRPr="00976621" w:rsidRDefault="002032B1" w:rsidP="00845397">
            <w:pPr>
              <w:pStyle w:val="2"/>
              <w:spacing w:line="360" w:lineRule="auto"/>
              <w:outlineLvl w:val="1"/>
              <w:rPr>
                <w:rFonts w:ascii="David" w:hAnsi="David" w:cs="David"/>
                <w:rtl/>
              </w:rPr>
            </w:pPr>
            <w:bookmarkStart w:id="17" w:name="_Toc85982165"/>
            <w:r w:rsidRPr="00976621">
              <w:rPr>
                <w:rFonts w:ascii="David" w:hAnsi="David" w:cs="David" w:hint="cs"/>
                <w:rtl/>
              </w:rPr>
              <w:t>15. ניהול רישומים ושמירתם – סעיף 16 לצו</w:t>
            </w:r>
            <w:bookmarkEnd w:id="17"/>
          </w:p>
        </w:tc>
      </w:tr>
    </w:tbl>
    <w:p w:rsidR="007F31D4" w:rsidRDefault="002032B1" w:rsidP="00845397">
      <w:pPr>
        <w:spacing w:before="240" w:line="360" w:lineRule="auto"/>
        <w:jc w:val="both"/>
        <w:rPr>
          <w:rtl/>
        </w:rPr>
      </w:pPr>
      <w:r w:rsidRPr="002470E7">
        <w:rPr>
          <w:rtl/>
        </w:rPr>
        <w:t xml:space="preserve">נותן שירות </w:t>
      </w:r>
      <w:r>
        <w:rPr>
          <w:rFonts w:hint="cs"/>
          <w:rtl/>
        </w:rPr>
        <w:t xml:space="preserve">נדרש </w:t>
      </w:r>
      <w:r w:rsidRPr="002470E7">
        <w:rPr>
          <w:rtl/>
        </w:rPr>
        <w:t>להקים מאגר מידע ולשמור את כל מסמכי הזיהוי ומסמכי ביצוע הפעולה וכן הוראות לביצוע פעולות והתכתבות עסקית למשך חמש שנים לפחות</w:t>
      </w:r>
      <w:r>
        <w:rPr>
          <w:rFonts w:hint="cs"/>
          <w:rtl/>
        </w:rPr>
        <w:t>. הפרטים הנדרשים לשמירה מפורטים בסעיף 16 לצו.</w:t>
      </w:r>
      <w:r w:rsidR="005D58C2">
        <w:rPr>
          <w:rFonts w:hint="cs"/>
          <w:rtl/>
        </w:rPr>
        <w:t xml:space="preserve"> כמו כן, על נותן השירות לשמור, לתקופה של לפחות חמש שנים, כל מסמך הוראה בקשר לביצוע פעולה שעליה דיווח לרשות ואת הדיווח עצמו, וכן תיעוד הליך הבקרה וממצאיה לפי סעיף 10 לצו.</w:t>
      </w:r>
    </w:p>
    <w:p w:rsidR="00440CED" w:rsidRDefault="002032B1" w:rsidP="00845397">
      <w:pPr>
        <w:spacing w:line="360" w:lineRule="auto"/>
        <w:jc w:val="both"/>
        <w:rPr>
          <w:rtl/>
        </w:rPr>
      </w:pPr>
      <w:r>
        <w:rPr>
          <w:rFonts w:hint="cs"/>
          <w:rtl/>
        </w:rPr>
        <w:t>נותן השירות נדרש לשמור את המסמכים אף מעבר לתקופה של חמש שנים אם נדרש לכך על ידי הממונה, במקרים שהם נדרשים לצורך חקירה או לשם פיקוח על ביצוע הוראות משטר איסור הלבנת הון ומימון טרור החלות על נותן השירות.</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174A1B">
        <w:tc>
          <w:tcPr>
            <w:tcW w:w="8296" w:type="dxa"/>
            <w:shd w:val="clear" w:color="auto" w:fill="0070C0"/>
          </w:tcPr>
          <w:p w:rsidR="00174A1B" w:rsidRDefault="002032B1" w:rsidP="00845397">
            <w:pPr>
              <w:pStyle w:val="2"/>
              <w:spacing w:line="360" w:lineRule="auto"/>
              <w:outlineLvl w:val="1"/>
              <w:rPr>
                <w:rtl/>
              </w:rPr>
            </w:pPr>
            <w:bookmarkStart w:id="18" w:name="_Toc85982166"/>
            <w:r w:rsidRPr="00976621">
              <w:rPr>
                <w:rFonts w:ascii="David" w:hAnsi="David" w:cs="David" w:hint="cs"/>
                <w:rtl/>
              </w:rPr>
              <w:t xml:space="preserve">16. מסירת מסמכים, ידיעות והסברים </w:t>
            </w:r>
            <w:r w:rsidRPr="00976621">
              <w:rPr>
                <w:rFonts w:ascii="David" w:hAnsi="David" w:cs="David"/>
                <w:rtl/>
              </w:rPr>
              <w:t>–</w:t>
            </w:r>
            <w:r w:rsidRPr="00976621">
              <w:rPr>
                <w:rFonts w:ascii="David" w:hAnsi="David" w:cs="David" w:hint="cs"/>
                <w:rtl/>
              </w:rPr>
              <w:t xml:space="preserve"> סעיף 17 לצו</w:t>
            </w:r>
            <w:bookmarkEnd w:id="18"/>
          </w:p>
        </w:tc>
      </w:tr>
    </w:tbl>
    <w:p w:rsidR="00440CED" w:rsidRDefault="002032B1" w:rsidP="00845397">
      <w:pPr>
        <w:spacing w:before="240" w:line="360" w:lineRule="auto"/>
        <w:jc w:val="both"/>
        <w:rPr>
          <w:rtl/>
        </w:rPr>
      </w:pPr>
      <w:r>
        <w:rPr>
          <w:rFonts w:hint="cs"/>
          <w:rtl/>
        </w:rPr>
        <w:t>נו</w:t>
      </w:r>
      <w:r w:rsidR="00291610">
        <w:rPr>
          <w:rFonts w:hint="cs"/>
          <w:rtl/>
        </w:rPr>
        <w:t>תן השירות חייב למסור, לפי דרישה של הממונה,</w:t>
      </w:r>
      <w:r>
        <w:rPr>
          <w:rFonts w:hint="cs"/>
          <w:rtl/>
        </w:rPr>
        <w:t xml:space="preserve"> לממונה או למי שהממונה הסמיך לכך, מסמכים, ידיעות והסברים בקשר למילוי חובותיו לפי הצו.</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8296"/>
      </w:tblGrid>
      <w:tr w:rsidR="00424B4C" w:rsidTr="00174A1B">
        <w:tc>
          <w:tcPr>
            <w:tcW w:w="8296" w:type="dxa"/>
            <w:shd w:val="clear" w:color="auto" w:fill="0070C0"/>
          </w:tcPr>
          <w:p w:rsidR="00174A1B" w:rsidRDefault="002032B1" w:rsidP="00845397">
            <w:pPr>
              <w:pStyle w:val="2"/>
              <w:spacing w:line="360" w:lineRule="auto"/>
              <w:outlineLvl w:val="1"/>
              <w:rPr>
                <w:rtl/>
              </w:rPr>
            </w:pPr>
            <w:bookmarkStart w:id="19" w:name="_Toc85982167"/>
            <w:r w:rsidRPr="00976621">
              <w:rPr>
                <w:rFonts w:ascii="David" w:hAnsi="David" w:cs="David" w:hint="cs"/>
                <w:rtl/>
              </w:rPr>
              <w:t xml:space="preserve">17. הוראות תחילה </w:t>
            </w:r>
            <w:r w:rsidRPr="00976621">
              <w:rPr>
                <w:rFonts w:ascii="David" w:hAnsi="David" w:cs="David"/>
                <w:rtl/>
              </w:rPr>
              <w:t>–</w:t>
            </w:r>
            <w:r w:rsidRPr="00976621">
              <w:rPr>
                <w:rFonts w:ascii="David" w:hAnsi="David" w:cs="David" w:hint="cs"/>
                <w:rtl/>
              </w:rPr>
              <w:t xml:space="preserve"> סעיף 19 לצו</w:t>
            </w:r>
            <w:bookmarkEnd w:id="19"/>
          </w:p>
        </w:tc>
      </w:tr>
    </w:tbl>
    <w:p w:rsidR="007F31D4" w:rsidRDefault="002032B1" w:rsidP="00845397">
      <w:pPr>
        <w:spacing w:before="240" w:line="360" w:lineRule="auto"/>
        <w:jc w:val="both"/>
        <w:rPr>
          <w:rtl/>
        </w:rPr>
      </w:pPr>
      <w:r>
        <w:rPr>
          <w:rFonts w:hint="cs"/>
          <w:rtl/>
        </w:rPr>
        <w:t xml:space="preserve">הצו ייכנס לתוקפו שמונה חודשים מיום פרסומו ברשומות, ביום </w:t>
      </w:r>
      <w:r w:rsidR="00E35145">
        <w:rPr>
          <w:rFonts w:hint="cs"/>
          <w:rtl/>
        </w:rPr>
        <w:t>1</w:t>
      </w:r>
      <w:r w:rsidR="003572EC">
        <w:rPr>
          <w:rFonts w:hint="cs"/>
          <w:rtl/>
        </w:rPr>
        <w:t xml:space="preserve">4.11.2021, למעט לגבי </w:t>
      </w:r>
      <w:r>
        <w:rPr>
          <w:rFonts w:hint="cs"/>
          <w:rtl/>
        </w:rPr>
        <w:t>הדרישה לפי סעיף 7א(ב)(2) בדבר החובה להעביר את פרטי הזיהוי של מבצעי פעולות</w:t>
      </w:r>
      <w:r w:rsidR="005A76EC">
        <w:rPr>
          <w:rFonts w:hint="cs"/>
          <w:rtl/>
        </w:rPr>
        <w:t xml:space="preserve"> (המעביר והנעבר)</w:t>
      </w:r>
      <w:r>
        <w:rPr>
          <w:rFonts w:hint="cs"/>
          <w:rtl/>
        </w:rPr>
        <w:t xml:space="preserve"> במטבעות וירטואליים</w:t>
      </w:r>
      <w:r w:rsidR="003572EC">
        <w:rPr>
          <w:rFonts w:hint="cs"/>
          <w:rtl/>
        </w:rPr>
        <w:t xml:space="preserve"> </w:t>
      </w:r>
      <w:r>
        <w:rPr>
          <w:rFonts w:hint="cs"/>
          <w:rtl/>
        </w:rPr>
        <w:t xml:space="preserve"> </w:t>
      </w:r>
      <w:r w:rsidR="003572EC">
        <w:rPr>
          <w:rFonts w:hint="cs"/>
          <w:rtl/>
        </w:rPr>
        <w:t>(</w:t>
      </w:r>
      <w:r>
        <w:rPr>
          <w:rFonts w:hint="cs"/>
          <w:rtl/>
        </w:rPr>
        <w:t>הוראה זו תיכנס לתוקף במועד שיקבע הממונה, כאשר יפותח פתרון טכנולוגי מתאים ליישום החובה</w:t>
      </w:r>
      <w:r w:rsidR="003572EC">
        <w:rPr>
          <w:rFonts w:hint="cs"/>
          <w:rtl/>
        </w:rPr>
        <w:t>)</w:t>
      </w:r>
      <w:r>
        <w:rPr>
          <w:rFonts w:hint="cs"/>
          <w:rtl/>
        </w:rPr>
        <w:t>.</w:t>
      </w:r>
    </w:p>
    <w:p w:rsidR="007F31D4" w:rsidRDefault="002032B1" w:rsidP="00845397">
      <w:pPr>
        <w:spacing w:line="360" w:lineRule="auto"/>
        <w:jc w:val="both"/>
        <w:rPr>
          <w:rtl/>
        </w:rPr>
      </w:pPr>
      <w:r>
        <w:rPr>
          <w:rFonts w:hint="cs"/>
          <w:rtl/>
        </w:rPr>
        <w:t>על אף האמור, נותני שירות בנכס פיננסי המעוניינים להחיל עליהם את הצו מוקדם יותר, רשאים לעשות זאת ובלבד שיתנו על כך הודעה לרשות שוק ההון, ביטוח וחיסכון, ואז יחול הצו לגביהם מיום מסירת ההודעה.</w:t>
      </w:r>
    </w:p>
    <w:p w:rsidR="00784556" w:rsidRDefault="002032B1" w:rsidP="00784556">
      <w:pPr>
        <w:spacing w:line="360" w:lineRule="auto"/>
        <w:jc w:val="both"/>
        <w:rPr>
          <w:rtl/>
        </w:rPr>
      </w:pPr>
      <w:r>
        <w:rPr>
          <w:rFonts w:hint="cs"/>
          <w:rtl/>
        </w:rPr>
        <w:t>הצו קובע כי</w:t>
      </w:r>
      <w:r>
        <w:t xml:space="preserve"> </w:t>
      </w:r>
      <w:r>
        <w:rPr>
          <w:rFonts w:hint="cs"/>
          <w:rtl/>
        </w:rPr>
        <w:t>מ</w:t>
      </w:r>
      <w:r w:rsidRPr="00F37A36">
        <w:rPr>
          <w:rtl/>
        </w:rPr>
        <w:t>י שפעל קודם כנותן שירותי מטבע יראו אותו כמקיים את הוראות הצו אם הוא פועל לפי צו נותני שירותי מטבע</w:t>
      </w:r>
      <w:r>
        <w:rPr>
          <w:rFonts w:hint="cs"/>
          <w:rtl/>
        </w:rPr>
        <w:t>.</w:t>
      </w:r>
    </w:p>
    <w:p w:rsidR="00784556" w:rsidRDefault="00784556" w:rsidP="00784556">
      <w:pPr>
        <w:spacing w:line="360" w:lineRule="auto"/>
        <w:jc w:val="both"/>
        <w:rPr>
          <w:rtl/>
        </w:rPr>
      </w:pPr>
    </w:p>
    <w:p w:rsidR="00440CED" w:rsidRDefault="00440CED" w:rsidP="00845397">
      <w:pPr>
        <w:spacing w:line="360" w:lineRule="auto"/>
        <w:jc w:val="both"/>
      </w:pPr>
    </w:p>
    <w:sectPr w:rsidR="00440CED" w:rsidSect="003E32A8">
      <w:headerReference w:type="default" r:id="rId8"/>
      <w:footerReference w:type="default" r:id="rId9"/>
      <w:pgSz w:w="11906" w:h="16838"/>
      <w:pgMar w:top="1440" w:right="1800" w:bottom="1440" w:left="1800" w:header="227"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F8" w:rsidRDefault="002032B1">
      <w:pPr>
        <w:spacing w:after="0" w:line="240" w:lineRule="auto"/>
      </w:pPr>
      <w:r>
        <w:separator/>
      </w:r>
    </w:p>
  </w:endnote>
  <w:endnote w:type="continuationSeparator" w:id="0">
    <w:p w:rsidR="00426DF8" w:rsidRDefault="0020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8028242"/>
      <w:docPartObj>
        <w:docPartGallery w:val="Page Numbers (Bottom of Page)"/>
        <w:docPartUnique/>
      </w:docPartObj>
    </w:sdtPr>
    <w:sdtEndPr/>
    <w:sdtContent>
      <w:p w:rsidR="00112D80" w:rsidRDefault="002032B1">
        <w:pPr>
          <w:pStyle w:val="ab"/>
          <w:jc w:val="center"/>
          <w:rPr>
            <w:rtl/>
            <w:cs/>
          </w:rPr>
        </w:pPr>
        <w:r>
          <w:fldChar w:fldCharType="begin"/>
        </w:r>
        <w:r>
          <w:rPr>
            <w:rtl/>
            <w:cs/>
          </w:rPr>
          <w:instrText>PAGE   \* MERGEFORMAT</w:instrText>
        </w:r>
        <w:r>
          <w:fldChar w:fldCharType="separate"/>
        </w:r>
        <w:r w:rsidR="00442814" w:rsidRPr="00442814">
          <w:rPr>
            <w:noProof/>
            <w:rtl/>
            <w:lang w:val="he-IL"/>
          </w:rPr>
          <w:t>13</w:t>
        </w:r>
        <w:r>
          <w:fldChar w:fldCharType="end"/>
        </w:r>
      </w:p>
    </w:sdtContent>
  </w:sdt>
  <w:p w:rsidR="00112D80" w:rsidRDefault="00112D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F8" w:rsidRDefault="002032B1">
      <w:pPr>
        <w:spacing w:after="0" w:line="240" w:lineRule="auto"/>
      </w:pPr>
      <w:r>
        <w:separator/>
      </w:r>
    </w:p>
  </w:footnote>
  <w:footnote w:type="continuationSeparator" w:id="0">
    <w:p w:rsidR="00426DF8" w:rsidRDefault="00203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A8" w:rsidRDefault="00BC1F22" w:rsidP="00BC1F22">
    <w:pPr>
      <w:pStyle w:val="a9"/>
      <w:jc w:val="center"/>
      <w:rPr>
        <w:rtl/>
      </w:rPr>
    </w:pPr>
    <w:r>
      <w:rPr>
        <w:rFonts w:ascii="David" w:hAnsi="David"/>
        <w:b/>
        <w:bCs/>
        <w:noProof/>
        <w:sz w:val="32"/>
        <w:szCs w:val="32"/>
      </w:rPr>
      <w:drawing>
        <wp:anchor distT="0" distB="0" distL="114300" distR="114300" simplePos="0" relativeHeight="251659264" behindDoc="0" locked="0" layoutInCell="1" allowOverlap="1">
          <wp:simplePos x="0" y="0"/>
          <wp:positionH relativeFrom="column">
            <wp:posOffset>3943350</wp:posOffset>
          </wp:positionH>
          <wp:positionV relativeFrom="paragraph">
            <wp:posOffset>-1270</wp:posOffset>
          </wp:positionV>
          <wp:extent cx="485775" cy="342900"/>
          <wp:effectExtent l="0" t="0" r="9525"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5929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5775" cy="342900"/>
                  </a:xfrm>
                  <a:prstGeom prst="rect">
                    <a:avLst/>
                  </a:prstGeom>
                  <a:noFill/>
                </pic:spPr>
              </pic:pic>
            </a:graphicData>
          </a:graphic>
        </wp:anchor>
      </w:drawing>
    </w:r>
  </w:p>
  <w:p w:rsidR="00BF5A49" w:rsidRDefault="00BC1F22" w:rsidP="00BF5A49">
    <w:pPr>
      <w:pStyle w:val="m1286092369833061930msoheader"/>
      <w:shd w:val="clear" w:color="auto" w:fill="FFFFFF"/>
      <w:bidi/>
      <w:spacing w:before="0" w:beforeAutospacing="0" w:after="0" w:afterAutospacing="0"/>
      <w:rPr>
        <w:rFonts w:ascii="FrankRuehl" w:hAnsi="FrankRuehl" w:cs="FrankRuehl"/>
        <w:b/>
        <w:bCs/>
        <w:color w:val="222222"/>
        <w:sz w:val="36"/>
        <w:szCs w:val="36"/>
      </w:rPr>
    </w:pPr>
    <w:r>
      <w:rPr>
        <w:rFonts w:ascii="David" w:hAnsi="David"/>
        <w:b/>
        <w:bCs/>
        <w:noProof/>
        <w:sz w:val="32"/>
        <w:szCs w:val="32"/>
      </w:rPr>
      <w:drawing>
        <wp:anchor distT="0" distB="0" distL="114300" distR="114300" simplePos="0" relativeHeight="251658240" behindDoc="0" locked="0" layoutInCell="1" allowOverlap="1">
          <wp:simplePos x="0" y="0"/>
          <wp:positionH relativeFrom="column">
            <wp:posOffset>-409575</wp:posOffset>
          </wp:positionH>
          <wp:positionV relativeFrom="paragraph">
            <wp:posOffset>250825</wp:posOffset>
          </wp:positionV>
          <wp:extent cx="3200400" cy="385445"/>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7251"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200400" cy="385445"/>
                  </a:xfrm>
                  <a:prstGeom prst="rect">
                    <a:avLst/>
                  </a:prstGeom>
                  <a:noFill/>
                </pic:spPr>
              </pic:pic>
            </a:graphicData>
          </a:graphic>
          <wp14:sizeRelH relativeFrom="margin">
            <wp14:pctWidth>0</wp14:pctWidth>
          </wp14:sizeRelH>
          <wp14:sizeRelV relativeFrom="margin">
            <wp14:pctHeight>0</wp14:pctHeight>
          </wp14:sizeRelV>
        </wp:anchor>
      </w:drawing>
    </w:r>
  </w:p>
  <w:p w:rsidR="00BC1F22" w:rsidRPr="00BF5A49" w:rsidRDefault="00BC1F22" w:rsidP="00BF5A49">
    <w:pPr>
      <w:pStyle w:val="m1286092369833061930msoheader"/>
      <w:shd w:val="clear" w:color="auto" w:fill="FFFFFF"/>
      <w:bidi/>
      <w:spacing w:before="0" w:beforeAutospacing="0" w:after="0" w:afterAutospacing="0"/>
      <w:rPr>
        <w:rFonts w:ascii="FrankRuehl" w:hAnsi="FrankRuehl" w:cs="FrankRuehl"/>
        <w:b/>
        <w:bCs/>
        <w:color w:val="222222"/>
        <w:sz w:val="36"/>
        <w:szCs w:val="36"/>
        <w:rtl/>
      </w:rPr>
    </w:pPr>
    <w:r>
      <w:rPr>
        <w:rFonts w:ascii="FrankRuehl" w:hAnsi="FrankRuehl" w:cs="FrankRuehl"/>
        <w:b/>
        <w:bCs/>
        <w:color w:val="222222"/>
        <w:sz w:val="36"/>
        <w:szCs w:val="36"/>
      </w:rPr>
      <w:t xml:space="preserve">            </w:t>
    </w:r>
    <w:r w:rsidR="003E32A8">
      <w:rPr>
        <w:rFonts w:ascii="FrankRuehl" w:hAnsi="FrankRuehl" w:cs="FrankRuehl"/>
        <w:b/>
        <w:bCs/>
        <w:color w:val="222222"/>
        <w:sz w:val="36"/>
        <w:szCs w:val="36"/>
        <w:rtl/>
      </w:rPr>
      <w:t>מדינת ישראל</w:t>
    </w:r>
  </w:p>
  <w:p w:rsidR="003E32A8" w:rsidRPr="00BC1F22" w:rsidRDefault="003E32A8" w:rsidP="00BC1F22">
    <w:pPr>
      <w:pStyle w:val="m1286092369833061930msoheader"/>
      <w:shd w:val="clear" w:color="auto" w:fill="FFFFFF"/>
      <w:bidi/>
      <w:spacing w:before="0" w:beforeAutospacing="0" w:after="0" w:afterAutospacing="0"/>
      <w:rPr>
        <w:color w:val="222222"/>
        <w:sz w:val="26"/>
        <w:szCs w:val="26"/>
        <w:rtl/>
      </w:rPr>
    </w:pPr>
    <w:r>
      <w:rPr>
        <w:rFonts w:ascii="FrankRuehl" w:hAnsi="FrankRuehl" w:cs="FrankRuehl"/>
        <w:color w:val="222222"/>
        <w:sz w:val="32"/>
        <w:szCs w:val="32"/>
        <w:rtl/>
      </w:rPr>
      <w:t>רשות שוק ההון, ביטוח וחיסכון</w:t>
    </w:r>
  </w:p>
  <w:p w:rsidR="003E32A8" w:rsidRDefault="003E32A8" w:rsidP="00BC1F22">
    <w:pPr>
      <w:pStyle w:val="m1286092369833061930msoheader"/>
      <w:shd w:val="clear" w:color="auto" w:fill="FFFFFF"/>
      <w:bidi/>
      <w:spacing w:before="0" w:beforeAutospacing="0" w:after="0" w:afterAutospacing="0"/>
      <w:jc w:val="right"/>
      <w:rPr>
        <w:rFonts w:ascii="FrankRuehl" w:hAnsi="FrankRuehl" w:cs="FrankRuehl"/>
        <w:color w:val="222222"/>
        <w:sz w:val="32"/>
        <w:szCs w:val="32"/>
        <w:rtl/>
      </w:rPr>
    </w:pPr>
  </w:p>
  <w:p w:rsidR="003E32A8" w:rsidRDefault="003E32A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EDC"/>
    <w:multiLevelType w:val="hybridMultilevel"/>
    <w:tmpl w:val="ECC4BDCA"/>
    <w:lvl w:ilvl="0" w:tplc="E8909D7A">
      <w:start w:val="1"/>
      <w:numFmt w:val="bullet"/>
      <w:lvlText w:val=""/>
      <w:lvlJc w:val="left"/>
      <w:pPr>
        <w:ind w:left="720" w:hanging="360"/>
      </w:pPr>
      <w:rPr>
        <w:rFonts w:ascii="Wingdings" w:hAnsi="Wingdings" w:hint="default"/>
      </w:rPr>
    </w:lvl>
    <w:lvl w:ilvl="1" w:tplc="B94C4D3A" w:tentative="1">
      <w:start w:val="1"/>
      <w:numFmt w:val="bullet"/>
      <w:lvlText w:val="o"/>
      <w:lvlJc w:val="left"/>
      <w:pPr>
        <w:ind w:left="1440" w:hanging="360"/>
      </w:pPr>
      <w:rPr>
        <w:rFonts w:ascii="Courier New" w:hAnsi="Courier New" w:cs="Courier New" w:hint="default"/>
      </w:rPr>
    </w:lvl>
    <w:lvl w:ilvl="2" w:tplc="2DDCBE6A" w:tentative="1">
      <w:start w:val="1"/>
      <w:numFmt w:val="bullet"/>
      <w:lvlText w:val=""/>
      <w:lvlJc w:val="left"/>
      <w:pPr>
        <w:ind w:left="2160" w:hanging="360"/>
      </w:pPr>
      <w:rPr>
        <w:rFonts w:ascii="Wingdings" w:hAnsi="Wingdings" w:hint="default"/>
      </w:rPr>
    </w:lvl>
    <w:lvl w:ilvl="3" w:tplc="5D760F2E" w:tentative="1">
      <w:start w:val="1"/>
      <w:numFmt w:val="bullet"/>
      <w:lvlText w:val=""/>
      <w:lvlJc w:val="left"/>
      <w:pPr>
        <w:ind w:left="2880" w:hanging="360"/>
      </w:pPr>
      <w:rPr>
        <w:rFonts w:ascii="Symbol" w:hAnsi="Symbol" w:hint="default"/>
      </w:rPr>
    </w:lvl>
    <w:lvl w:ilvl="4" w:tplc="A4582D90" w:tentative="1">
      <w:start w:val="1"/>
      <w:numFmt w:val="bullet"/>
      <w:lvlText w:val="o"/>
      <w:lvlJc w:val="left"/>
      <w:pPr>
        <w:ind w:left="3600" w:hanging="360"/>
      </w:pPr>
      <w:rPr>
        <w:rFonts w:ascii="Courier New" w:hAnsi="Courier New" w:cs="Courier New" w:hint="default"/>
      </w:rPr>
    </w:lvl>
    <w:lvl w:ilvl="5" w:tplc="6B10BB6C" w:tentative="1">
      <w:start w:val="1"/>
      <w:numFmt w:val="bullet"/>
      <w:lvlText w:val=""/>
      <w:lvlJc w:val="left"/>
      <w:pPr>
        <w:ind w:left="4320" w:hanging="360"/>
      </w:pPr>
      <w:rPr>
        <w:rFonts w:ascii="Wingdings" w:hAnsi="Wingdings" w:hint="default"/>
      </w:rPr>
    </w:lvl>
    <w:lvl w:ilvl="6" w:tplc="A58C6484" w:tentative="1">
      <w:start w:val="1"/>
      <w:numFmt w:val="bullet"/>
      <w:lvlText w:val=""/>
      <w:lvlJc w:val="left"/>
      <w:pPr>
        <w:ind w:left="5040" w:hanging="360"/>
      </w:pPr>
      <w:rPr>
        <w:rFonts w:ascii="Symbol" w:hAnsi="Symbol" w:hint="default"/>
      </w:rPr>
    </w:lvl>
    <w:lvl w:ilvl="7" w:tplc="A9D60D6E" w:tentative="1">
      <w:start w:val="1"/>
      <w:numFmt w:val="bullet"/>
      <w:lvlText w:val="o"/>
      <w:lvlJc w:val="left"/>
      <w:pPr>
        <w:ind w:left="5760" w:hanging="360"/>
      </w:pPr>
      <w:rPr>
        <w:rFonts w:ascii="Courier New" w:hAnsi="Courier New" w:cs="Courier New" w:hint="default"/>
      </w:rPr>
    </w:lvl>
    <w:lvl w:ilvl="8" w:tplc="9D705E0E" w:tentative="1">
      <w:start w:val="1"/>
      <w:numFmt w:val="bullet"/>
      <w:lvlText w:val=""/>
      <w:lvlJc w:val="left"/>
      <w:pPr>
        <w:ind w:left="6480" w:hanging="360"/>
      </w:pPr>
      <w:rPr>
        <w:rFonts w:ascii="Wingdings" w:hAnsi="Wingdings" w:hint="default"/>
      </w:rPr>
    </w:lvl>
  </w:abstractNum>
  <w:abstractNum w:abstractNumId="1" w15:restartNumberingAfterBreak="0">
    <w:nsid w:val="0A260D13"/>
    <w:multiLevelType w:val="hybridMultilevel"/>
    <w:tmpl w:val="DC3A4190"/>
    <w:lvl w:ilvl="0" w:tplc="7B3E6B18">
      <w:start w:val="1"/>
      <w:numFmt w:val="bullet"/>
      <w:lvlText w:val=""/>
      <w:lvlJc w:val="left"/>
      <w:pPr>
        <w:ind w:left="360" w:hanging="360"/>
      </w:pPr>
      <w:rPr>
        <w:rFonts w:ascii="Symbol" w:hAnsi="Symbol" w:hint="default"/>
      </w:rPr>
    </w:lvl>
    <w:lvl w:ilvl="1" w:tplc="F90A78EE" w:tentative="1">
      <w:start w:val="1"/>
      <w:numFmt w:val="bullet"/>
      <w:lvlText w:val="o"/>
      <w:lvlJc w:val="left"/>
      <w:pPr>
        <w:ind w:left="1080" w:hanging="360"/>
      </w:pPr>
      <w:rPr>
        <w:rFonts w:ascii="Courier New" w:hAnsi="Courier New" w:cs="Courier New" w:hint="default"/>
      </w:rPr>
    </w:lvl>
    <w:lvl w:ilvl="2" w:tplc="E9645ADA" w:tentative="1">
      <w:start w:val="1"/>
      <w:numFmt w:val="bullet"/>
      <w:lvlText w:val=""/>
      <w:lvlJc w:val="left"/>
      <w:pPr>
        <w:ind w:left="1800" w:hanging="360"/>
      </w:pPr>
      <w:rPr>
        <w:rFonts w:ascii="Wingdings" w:hAnsi="Wingdings" w:hint="default"/>
      </w:rPr>
    </w:lvl>
    <w:lvl w:ilvl="3" w:tplc="D320FDD2" w:tentative="1">
      <w:start w:val="1"/>
      <w:numFmt w:val="bullet"/>
      <w:lvlText w:val=""/>
      <w:lvlJc w:val="left"/>
      <w:pPr>
        <w:ind w:left="2520" w:hanging="360"/>
      </w:pPr>
      <w:rPr>
        <w:rFonts w:ascii="Symbol" w:hAnsi="Symbol" w:hint="default"/>
      </w:rPr>
    </w:lvl>
    <w:lvl w:ilvl="4" w:tplc="22C440BE" w:tentative="1">
      <w:start w:val="1"/>
      <w:numFmt w:val="bullet"/>
      <w:lvlText w:val="o"/>
      <w:lvlJc w:val="left"/>
      <w:pPr>
        <w:ind w:left="3240" w:hanging="360"/>
      </w:pPr>
      <w:rPr>
        <w:rFonts w:ascii="Courier New" w:hAnsi="Courier New" w:cs="Courier New" w:hint="default"/>
      </w:rPr>
    </w:lvl>
    <w:lvl w:ilvl="5" w:tplc="04347DB2" w:tentative="1">
      <w:start w:val="1"/>
      <w:numFmt w:val="bullet"/>
      <w:lvlText w:val=""/>
      <w:lvlJc w:val="left"/>
      <w:pPr>
        <w:ind w:left="3960" w:hanging="360"/>
      </w:pPr>
      <w:rPr>
        <w:rFonts w:ascii="Wingdings" w:hAnsi="Wingdings" w:hint="default"/>
      </w:rPr>
    </w:lvl>
    <w:lvl w:ilvl="6" w:tplc="9CD2CFD0" w:tentative="1">
      <w:start w:val="1"/>
      <w:numFmt w:val="bullet"/>
      <w:lvlText w:val=""/>
      <w:lvlJc w:val="left"/>
      <w:pPr>
        <w:ind w:left="4680" w:hanging="360"/>
      </w:pPr>
      <w:rPr>
        <w:rFonts w:ascii="Symbol" w:hAnsi="Symbol" w:hint="default"/>
      </w:rPr>
    </w:lvl>
    <w:lvl w:ilvl="7" w:tplc="E036007A" w:tentative="1">
      <w:start w:val="1"/>
      <w:numFmt w:val="bullet"/>
      <w:lvlText w:val="o"/>
      <w:lvlJc w:val="left"/>
      <w:pPr>
        <w:ind w:left="5400" w:hanging="360"/>
      </w:pPr>
      <w:rPr>
        <w:rFonts w:ascii="Courier New" w:hAnsi="Courier New" w:cs="Courier New" w:hint="default"/>
      </w:rPr>
    </w:lvl>
    <w:lvl w:ilvl="8" w:tplc="9B4C3EAA" w:tentative="1">
      <w:start w:val="1"/>
      <w:numFmt w:val="bullet"/>
      <w:lvlText w:val=""/>
      <w:lvlJc w:val="left"/>
      <w:pPr>
        <w:ind w:left="6120" w:hanging="360"/>
      </w:pPr>
      <w:rPr>
        <w:rFonts w:ascii="Wingdings" w:hAnsi="Wingdings" w:hint="default"/>
      </w:rPr>
    </w:lvl>
  </w:abstractNum>
  <w:abstractNum w:abstractNumId="2" w15:restartNumberingAfterBreak="0">
    <w:nsid w:val="0BDC2979"/>
    <w:multiLevelType w:val="hybridMultilevel"/>
    <w:tmpl w:val="9BA208EC"/>
    <w:lvl w:ilvl="0" w:tplc="962CB3E8">
      <w:start w:val="1"/>
      <w:numFmt w:val="decimal"/>
      <w:lvlText w:val="%1."/>
      <w:lvlJc w:val="left"/>
      <w:pPr>
        <w:ind w:left="720" w:hanging="360"/>
      </w:pPr>
      <w:rPr>
        <w:rFonts w:hint="default"/>
      </w:rPr>
    </w:lvl>
    <w:lvl w:ilvl="1" w:tplc="6CE4EED4" w:tentative="1">
      <w:start w:val="1"/>
      <w:numFmt w:val="lowerLetter"/>
      <w:lvlText w:val="%2."/>
      <w:lvlJc w:val="left"/>
      <w:pPr>
        <w:ind w:left="1440" w:hanging="360"/>
      </w:pPr>
    </w:lvl>
    <w:lvl w:ilvl="2" w:tplc="C56A1B58" w:tentative="1">
      <w:start w:val="1"/>
      <w:numFmt w:val="lowerRoman"/>
      <w:lvlText w:val="%3."/>
      <w:lvlJc w:val="right"/>
      <w:pPr>
        <w:ind w:left="2160" w:hanging="180"/>
      </w:pPr>
    </w:lvl>
    <w:lvl w:ilvl="3" w:tplc="86C81522" w:tentative="1">
      <w:start w:val="1"/>
      <w:numFmt w:val="decimal"/>
      <w:lvlText w:val="%4."/>
      <w:lvlJc w:val="left"/>
      <w:pPr>
        <w:ind w:left="2880" w:hanging="360"/>
      </w:pPr>
    </w:lvl>
    <w:lvl w:ilvl="4" w:tplc="2BA6C6C8" w:tentative="1">
      <w:start w:val="1"/>
      <w:numFmt w:val="lowerLetter"/>
      <w:lvlText w:val="%5."/>
      <w:lvlJc w:val="left"/>
      <w:pPr>
        <w:ind w:left="3600" w:hanging="360"/>
      </w:pPr>
    </w:lvl>
    <w:lvl w:ilvl="5" w:tplc="5A5C06F2" w:tentative="1">
      <w:start w:val="1"/>
      <w:numFmt w:val="lowerRoman"/>
      <w:lvlText w:val="%6."/>
      <w:lvlJc w:val="right"/>
      <w:pPr>
        <w:ind w:left="4320" w:hanging="180"/>
      </w:pPr>
    </w:lvl>
    <w:lvl w:ilvl="6" w:tplc="C256F24E" w:tentative="1">
      <w:start w:val="1"/>
      <w:numFmt w:val="decimal"/>
      <w:lvlText w:val="%7."/>
      <w:lvlJc w:val="left"/>
      <w:pPr>
        <w:ind w:left="5040" w:hanging="360"/>
      </w:pPr>
    </w:lvl>
    <w:lvl w:ilvl="7" w:tplc="4178FC7E" w:tentative="1">
      <w:start w:val="1"/>
      <w:numFmt w:val="lowerLetter"/>
      <w:lvlText w:val="%8."/>
      <w:lvlJc w:val="left"/>
      <w:pPr>
        <w:ind w:left="5760" w:hanging="360"/>
      </w:pPr>
    </w:lvl>
    <w:lvl w:ilvl="8" w:tplc="178E1062" w:tentative="1">
      <w:start w:val="1"/>
      <w:numFmt w:val="lowerRoman"/>
      <w:lvlText w:val="%9."/>
      <w:lvlJc w:val="right"/>
      <w:pPr>
        <w:ind w:left="6480" w:hanging="180"/>
      </w:pPr>
    </w:lvl>
  </w:abstractNum>
  <w:abstractNum w:abstractNumId="3" w15:restartNumberingAfterBreak="0">
    <w:nsid w:val="15685EA7"/>
    <w:multiLevelType w:val="hybridMultilevel"/>
    <w:tmpl w:val="DBEC9032"/>
    <w:lvl w:ilvl="0" w:tplc="761A599C">
      <w:start w:val="1"/>
      <w:numFmt w:val="bullet"/>
      <w:lvlText w:val=""/>
      <w:lvlJc w:val="left"/>
      <w:pPr>
        <w:ind w:left="360" w:hanging="360"/>
      </w:pPr>
      <w:rPr>
        <w:rFonts w:ascii="Symbol" w:hAnsi="Symbol" w:hint="default"/>
      </w:rPr>
    </w:lvl>
    <w:lvl w:ilvl="1" w:tplc="2FCE7DC8" w:tentative="1">
      <w:start w:val="1"/>
      <w:numFmt w:val="bullet"/>
      <w:lvlText w:val="o"/>
      <w:lvlJc w:val="left"/>
      <w:pPr>
        <w:ind w:left="1080" w:hanging="360"/>
      </w:pPr>
      <w:rPr>
        <w:rFonts w:ascii="Courier New" w:hAnsi="Courier New" w:cs="Courier New" w:hint="default"/>
      </w:rPr>
    </w:lvl>
    <w:lvl w:ilvl="2" w:tplc="CE902814" w:tentative="1">
      <w:start w:val="1"/>
      <w:numFmt w:val="bullet"/>
      <w:lvlText w:val=""/>
      <w:lvlJc w:val="left"/>
      <w:pPr>
        <w:ind w:left="1800" w:hanging="360"/>
      </w:pPr>
      <w:rPr>
        <w:rFonts w:ascii="Wingdings" w:hAnsi="Wingdings" w:hint="default"/>
      </w:rPr>
    </w:lvl>
    <w:lvl w:ilvl="3" w:tplc="E02EDE3A" w:tentative="1">
      <w:start w:val="1"/>
      <w:numFmt w:val="bullet"/>
      <w:lvlText w:val=""/>
      <w:lvlJc w:val="left"/>
      <w:pPr>
        <w:ind w:left="2520" w:hanging="360"/>
      </w:pPr>
      <w:rPr>
        <w:rFonts w:ascii="Symbol" w:hAnsi="Symbol" w:hint="default"/>
      </w:rPr>
    </w:lvl>
    <w:lvl w:ilvl="4" w:tplc="1A6E38CE" w:tentative="1">
      <w:start w:val="1"/>
      <w:numFmt w:val="bullet"/>
      <w:lvlText w:val="o"/>
      <w:lvlJc w:val="left"/>
      <w:pPr>
        <w:ind w:left="3240" w:hanging="360"/>
      </w:pPr>
      <w:rPr>
        <w:rFonts w:ascii="Courier New" w:hAnsi="Courier New" w:cs="Courier New" w:hint="default"/>
      </w:rPr>
    </w:lvl>
    <w:lvl w:ilvl="5" w:tplc="8D8EF8C6" w:tentative="1">
      <w:start w:val="1"/>
      <w:numFmt w:val="bullet"/>
      <w:lvlText w:val=""/>
      <w:lvlJc w:val="left"/>
      <w:pPr>
        <w:ind w:left="3960" w:hanging="360"/>
      </w:pPr>
      <w:rPr>
        <w:rFonts w:ascii="Wingdings" w:hAnsi="Wingdings" w:hint="default"/>
      </w:rPr>
    </w:lvl>
    <w:lvl w:ilvl="6" w:tplc="57AE0F68" w:tentative="1">
      <w:start w:val="1"/>
      <w:numFmt w:val="bullet"/>
      <w:lvlText w:val=""/>
      <w:lvlJc w:val="left"/>
      <w:pPr>
        <w:ind w:left="4680" w:hanging="360"/>
      </w:pPr>
      <w:rPr>
        <w:rFonts w:ascii="Symbol" w:hAnsi="Symbol" w:hint="default"/>
      </w:rPr>
    </w:lvl>
    <w:lvl w:ilvl="7" w:tplc="8C8EBB86" w:tentative="1">
      <w:start w:val="1"/>
      <w:numFmt w:val="bullet"/>
      <w:lvlText w:val="o"/>
      <w:lvlJc w:val="left"/>
      <w:pPr>
        <w:ind w:left="5400" w:hanging="360"/>
      </w:pPr>
      <w:rPr>
        <w:rFonts w:ascii="Courier New" w:hAnsi="Courier New" w:cs="Courier New" w:hint="default"/>
      </w:rPr>
    </w:lvl>
    <w:lvl w:ilvl="8" w:tplc="9530BBB8" w:tentative="1">
      <w:start w:val="1"/>
      <w:numFmt w:val="bullet"/>
      <w:lvlText w:val=""/>
      <w:lvlJc w:val="left"/>
      <w:pPr>
        <w:ind w:left="6120" w:hanging="360"/>
      </w:pPr>
      <w:rPr>
        <w:rFonts w:ascii="Wingdings" w:hAnsi="Wingdings" w:hint="default"/>
      </w:rPr>
    </w:lvl>
  </w:abstractNum>
  <w:abstractNum w:abstractNumId="4" w15:restartNumberingAfterBreak="0">
    <w:nsid w:val="15FC063E"/>
    <w:multiLevelType w:val="hybridMultilevel"/>
    <w:tmpl w:val="566A9146"/>
    <w:lvl w:ilvl="0" w:tplc="7F820304">
      <w:start w:val="1"/>
      <w:numFmt w:val="decimal"/>
      <w:lvlText w:val="%1."/>
      <w:lvlJc w:val="left"/>
      <w:pPr>
        <w:ind w:left="720" w:hanging="360"/>
      </w:pPr>
      <w:rPr>
        <w:rFonts w:hint="default"/>
      </w:rPr>
    </w:lvl>
    <w:lvl w:ilvl="1" w:tplc="F28EF160" w:tentative="1">
      <w:start w:val="1"/>
      <w:numFmt w:val="lowerLetter"/>
      <w:lvlText w:val="%2."/>
      <w:lvlJc w:val="left"/>
      <w:pPr>
        <w:ind w:left="1440" w:hanging="360"/>
      </w:pPr>
    </w:lvl>
    <w:lvl w:ilvl="2" w:tplc="7396AEE4" w:tentative="1">
      <w:start w:val="1"/>
      <w:numFmt w:val="lowerRoman"/>
      <w:lvlText w:val="%3."/>
      <w:lvlJc w:val="right"/>
      <w:pPr>
        <w:ind w:left="2160" w:hanging="180"/>
      </w:pPr>
    </w:lvl>
    <w:lvl w:ilvl="3" w:tplc="FD16C8AC" w:tentative="1">
      <w:start w:val="1"/>
      <w:numFmt w:val="decimal"/>
      <w:lvlText w:val="%4."/>
      <w:lvlJc w:val="left"/>
      <w:pPr>
        <w:ind w:left="2880" w:hanging="360"/>
      </w:pPr>
    </w:lvl>
    <w:lvl w:ilvl="4" w:tplc="190ADF90" w:tentative="1">
      <w:start w:val="1"/>
      <w:numFmt w:val="lowerLetter"/>
      <w:lvlText w:val="%5."/>
      <w:lvlJc w:val="left"/>
      <w:pPr>
        <w:ind w:left="3600" w:hanging="360"/>
      </w:pPr>
    </w:lvl>
    <w:lvl w:ilvl="5" w:tplc="2A182F76" w:tentative="1">
      <w:start w:val="1"/>
      <w:numFmt w:val="lowerRoman"/>
      <w:lvlText w:val="%6."/>
      <w:lvlJc w:val="right"/>
      <w:pPr>
        <w:ind w:left="4320" w:hanging="180"/>
      </w:pPr>
    </w:lvl>
    <w:lvl w:ilvl="6" w:tplc="4030D838" w:tentative="1">
      <w:start w:val="1"/>
      <w:numFmt w:val="decimal"/>
      <w:lvlText w:val="%7."/>
      <w:lvlJc w:val="left"/>
      <w:pPr>
        <w:ind w:left="5040" w:hanging="360"/>
      </w:pPr>
    </w:lvl>
    <w:lvl w:ilvl="7" w:tplc="6262C3CE" w:tentative="1">
      <w:start w:val="1"/>
      <w:numFmt w:val="lowerLetter"/>
      <w:lvlText w:val="%8."/>
      <w:lvlJc w:val="left"/>
      <w:pPr>
        <w:ind w:left="5760" w:hanging="360"/>
      </w:pPr>
    </w:lvl>
    <w:lvl w:ilvl="8" w:tplc="3E28F518" w:tentative="1">
      <w:start w:val="1"/>
      <w:numFmt w:val="lowerRoman"/>
      <w:lvlText w:val="%9."/>
      <w:lvlJc w:val="right"/>
      <w:pPr>
        <w:ind w:left="6480" w:hanging="180"/>
      </w:pPr>
    </w:lvl>
  </w:abstractNum>
  <w:abstractNum w:abstractNumId="5" w15:restartNumberingAfterBreak="0">
    <w:nsid w:val="1B443B42"/>
    <w:multiLevelType w:val="hybridMultilevel"/>
    <w:tmpl w:val="1562D87C"/>
    <w:lvl w:ilvl="0" w:tplc="CED6736A">
      <w:start w:val="1"/>
      <w:numFmt w:val="hebrew1"/>
      <w:lvlText w:val="%1."/>
      <w:lvlJc w:val="center"/>
      <w:pPr>
        <w:ind w:left="720" w:hanging="360"/>
      </w:pPr>
      <w:rPr>
        <w:rFonts w:ascii="David" w:hAnsi="David" w:cs="David" w:hint="default"/>
        <w:sz w:val="24"/>
        <w:szCs w:val="24"/>
      </w:rPr>
    </w:lvl>
    <w:lvl w:ilvl="1" w:tplc="173CA4BE" w:tentative="1">
      <w:start w:val="1"/>
      <w:numFmt w:val="lowerLetter"/>
      <w:lvlText w:val="%2."/>
      <w:lvlJc w:val="left"/>
      <w:pPr>
        <w:ind w:left="1440" w:hanging="360"/>
      </w:pPr>
    </w:lvl>
    <w:lvl w:ilvl="2" w:tplc="AF4683AC" w:tentative="1">
      <w:start w:val="1"/>
      <w:numFmt w:val="lowerRoman"/>
      <w:lvlText w:val="%3."/>
      <w:lvlJc w:val="right"/>
      <w:pPr>
        <w:ind w:left="2160" w:hanging="180"/>
      </w:pPr>
    </w:lvl>
    <w:lvl w:ilvl="3" w:tplc="FFB0C27C" w:tentative="1">
      <w:start w:val="1"/>
      <w:numFmt w:val="decimal"/>
      <w:lvlText w:val="%4."/>
      <w:lvlJc w:val="left"/>
      <w:pPr>
        <w:ind w:left="2880" w:hanging="360"/>
      </w:pPr>
    </w:lvl>
    <w:lvl w:ilvl="4" w:tplc="826CDCA2" w:tentative="1">
      <w:start w:val="1"/>
      <w:numFmt w:val="lowerLetter"/>
      <w:lvlText w:val="%5."/>
      <w:lvlJc w:val="left"/>
      <w:pPr>
        <w:ind w:left="3600" w:hanging="360"/>
      </w:pPr>
    </w:lvl>
    <w:lvl w:ilvl="5" w:tplc="EF66C960" w:tentative="1">
      <w:start w:val="1"/>
      <w:numFmt w:val="lowerRoman"/>
      <w:lvlText w:val="%6."/>
      <w:lvlJc w:val="right"/>
      <w:pPr>
        <w:ind w:left="4320" w:hanging="180"/>
      </w:pPr>
    </w:lvl>
    <w:lvl w:ilvl="6" w:tplc="132E5172" w:tentative="1">
      <w:start w:val="1"/>
      <w:numFmt w:val="decimal"/>
      <w:lvlText w:val="%7."/>
      <w:lvlJc w:val="left"/>
      <w:pPr>
        <w:ind w:left="5040" w:hanging="360"/>
      </w:pPr>
    </w:lvl>
    <w:lvl w:ilvl="7" w:tplc="ED6CDC7E" w:tentative="1">
      <w:start w:val="1"/>
      <w:numFmt w:val="lowerLetter"/>
      <w:lvlText w:val="%8."/>
      <w:lvlJc w:val="left"/>
      <w:pPr>
        <w:ind w:left="5760" w:hanging="360"/>
      </w:pPr>
    </w:lvl>
    <w:lvl w:ilvl="8" w:tplc="54C450C8" w:tentative="1">
      <w:start w:val="1"/>
      <w:numFmt w:val="lowerRoman"/>
      <w:lvlText w:val="%9."/>
      <w:lvlJc w:val="right"/>
      <w:pPr>
        <w:ind w:left="6480" w:hanging="180"/>
      </w:pPr>
    </w:lvl>
  </w:abstractNum>
  <w:abstractNum w:abstractNumId="6" w15:restartNumberingAfterBreak="0">
    <w:nsid w:val="279A0BCB"/>
    <w:multiLevelType w:val="hybridMultilevel"/>
    <w:tmpl w:val="F80A6344"/>
    <w:lvl w:ilvl="0" w:tplc="1046B322">
      <w:start w:val="1"/>
      <w:numFmt w:val="bullet"/>
      <w:lvlText w:val=""/>
      <w:lvlJc w:val="left"/>
      <w:pPr>
        <w:ind w:left="720" w:hanging="360"/>
      </w:pPr>
      <w:rPr>
        <w:rFonts w:ascii="Symbol" w:hAnsi="Symbol" w:hint="default"/>
      </w:rPr>
    </w:lvl>
    <w:lvl w:ilvl="1" w:tplc="A77A651E" w:tentative="1">
      <w:start w:val="1"/>
      <w:numFmt w:val="bullet"/>
      <w:lvlText w:val="o"/>
      <w:lvlJc w:val="left"/>
      <w:pPr>
        <w:ind w:left="1440" w:hanging="360"/>
      </w:pPr>
      <w:rPr>
        <w:rFonts w:ascii="Courier New" w:hAnsi="Courier New" w:cs="Courier New" w:hint="default"/>
      </w:rPr>
    </w:lvl>
    <w:lvl w:ilvl="2" w:tplc="BFC21FAE" w:tentative="1">
      <w:start w:val="1"/>
      <w:numFmt w:val="bullet"/>
      <w:lvlText w:val=""/>
      <w:lvlJc w:val="left"/>
      <w:pPr>
        <w:ind w:left="2160" w:hanging="360"/>
      </w:pPr>
      <w:rPr>
        <w:rFonts w:ascii="Wingdings" w:hAnsi="Wingdings" w:hint="default"/>
      </w:rPr>
    </w:lvl>
    <w:lvl w:ilvl="3" w:tplc="D292AF12" w:tentative="1">
      <w:start w:val="1"/>
      <w:numFmt w:val="bullet"/>
      <w:lvlText w:val=""/>
      <w:lvlJc w:val="left"/>
      <w:pPr>
        <w:ind w:left="2880" w:hanging="360"/>
      </w:pPr>
      <w:rPr>
        <w:rFonts w:ascii="Symbol" w:hAnsi="Symbol" w:hint="default"/>
      </w:rPr>
    </w:lvl>
    <w:lvl w:ilvl="4" w:tplc="F70E92FC" w:tentative="1">
      <w:start w:val="1"/>
      <w:numFmt w:val="bullet"/>
      <w:lvlText w:val="o"/>
      <w:lvlJc w:val="left"/>
      <w:pPr>
        <w:ind w:left="3600" w:hanging="360"/>
      </w:pPr>
      <w:rPr>
        <w:rFonts w:ascii="Courier New" w:hAnsi="Courier New" w:cs="Courier New" w:hint="default"/>
      </w:rPr>
    </w:lvl>
    <w:lvl w:ilvl="5" w:tplc="6C2C36E0" w:tentative="1">
      <w:start w:val="1"/>
      <w:numFmt w:val="bullet"/>
      <w:lvlText w:val=""/>
      <w:lvlJc w:val="left"/>
      <w:pPr>
        <w:ind w:left="4320" w:hanging="360"/>
      </w:pPr>
      <w:rPr>
        <w:rFonts w:ascii="Wingdings" w:hAnsi="Wingdings" w:hint="default"/>
      </w:rPr>
    </w:lvl>
    <w:lvl w:ilvl="6" w:tplc="8CE6E73A" w:tentative="1">
      <w:start w:val="1"/>
      <w:numFmt w:val="bullet"/>
      <w:lvlText w:val=""/>
      <w:lvlJc w:val="left"/>
      <w:pPr>
        <w:ind w:left="5040" w:hanging="360"/>
      </w:pPr>
      <w:rPr>
        <w:rFonts w:ascii="Symbol" w:hAnsi="Symbol" w:hint="default"/>
      </w:rPr>
    </w:lvl>
    <w:lvl w:ilvl="7" w:tplc="62D26DD4" w:tentative="1">
      <w:start w:val="1"/>
      <w:numFmt w:val="bullet"/>
      <w:lvlText w:val="o"/>
      <w:lvlJc w:val="left"/>
      <w:pPr>
        <w:ind w:left="5760" w:hanging="360"/>
      </w:pPr>
      <w:rPr>
        <w:rFonts w:ascii="Courier New" w:hAnsi="Courier New" w:cs="Courier New" w:hint="default"/>
      </w:rPr>
    </w:lvl>
    <w:lvl w:ilvl="8" w:tplc="B7FE0188" w:tentative="1">
      <w:start w:val="1"/>
      <w:numFmt w:val="bullet"/>
      <w:lvlText w:val=""/>
      <w:lvlJc w:val="left"/>
      <w:pPr>
        <w:ind w:left="6480" w:hanging="360"/>
      </w:pPr>
      <w:rPr>
        <w:rFonts w:ascii="Wingdings" w:hAnsi="Wingdings" w:hint="default"/>
      </w:rPr>
    </w:lvl>
  </w:abstractNum>
  <w:abstractNum w:abstractNumId="7" w15:restartNumberingAfterBreak="0">
    <w:nsid w:val="2F994D4A"/>
    <w:multiLevelType w:val="hybridMultilevel"/>
    <w:tmpl w:val="B650A4D6"/>
    <w:lvl w:ilvl="0" w:tplc="A9968242">
      <w:start w:val="1"/>
      <w:numFmt w:val="bullet"/>
      <w:lvlText w:val=""/>
      <w:lvlJc w:val="left"/>
      <w:pPr>
        <w:ind w:left="720" w:hanging="360"/>
      </w:pPr>
      <w:rPr>
        <w:rFonts w:ascii="Wingdings" w:hAnsi="Wingdings" w:hint="default"/>
      </w:rPr>
    </w:lvl>
    <w:lvl w:ilvl="1" w:tplc="A3824E86" w:tentative="1">
      <w:start w:val="1"/>
      <w:numFmt w:val="bullet"/>
      <w:lvlText w:val="o"/>
      <w:lvlJc w:val="left"/>
      <w:pPr>
        <w:ind w:left="1440" w:hanging="360"/>
      </w:pPr>
      <w:rPr>
        <w:rFonts w:ascii="Courier New" w:hAnsi="Courier New" w:cs="Courier New" w:hint="default"/>
      </w:rPr>
    </w:lvl>
    <w:lvl w:ilvl="2" w:tplc="D04EBD52" w:tentative="1">
      <w:start w:val="1"/>
      <w:numFmt w:val="bullet"/>
      <w:lvlText w:val=""/>
      <w:lvlJc w:val="left"/>
      <w:pPr>
        <w:ind w:left="2160" w:hanging="360"/>
      </w:pPr>
      <w:rPr>
        <w:rFonts w:ascii="Wingdings" w:hAnsi="Wingdings" w:hint="default"/>
      </w:rPr>
    </w:lvl>
    <w:lvl w:ilvl="3" w:tplc="7894349C" w:tentative="1">
      <w:start w:val="1"/>
      <w:numFmt w:val="bullet"/>
      <w:lvlText w:val=""/>
      <w:lvlJc w:val="left"/>
      <w:pPr>
        <w:ind w:left="2880" w:hanging="360"/>
      </w:pPr>
      <w:rPr>
        <w:rFonts w:ascii="Symbol" w:hAnsi="Symbol" w:hint="default"/>
      </w:rPr>
    </w:lvl>
    <w:lvl w:ilvl="4" w:tplc="D59C5AC4" w:tentative="1">
      <w:start w:val="1"/>
      <w:numFmt w:val="bullet"/>
      <w:lvlText w:val="o"/>
      <w:lvlJc w:val="left"/>
      <w:pPr>
        <w:ind w:left="3600" w:hanging="360"/>
      </w:pPr>
      <w:rPr>
        <w:rFonts w:ascii="Courier New" w:hAnsi="Courier New" w:cs="Courier New" w:hint="default"/>
      </w:rPr>
    </w:lvl>
    <w:lvl w:ilvl="5" w:tplc="9320C470" w:tentative="1">
      <w:start w:val="1"/>
      <w:numFmt w:val="bullet"/>
      <w:lvlText w:val=""/>
      <w:lvlJc w:val="left"/>
      <w:pPr>
        <w:ind w:left="4320" w:hanging="360"/>
      </w:pPr>
      <w:rPr>
        <w:rFonts w:ascii="Wingdings" w:hAnsi="Wingdings" w:hint="default"/>
      </w:rPr>
    </w:lvl>
    <w:lvl w:ilvl="6" w:tplc="93D84F9C" w:tentative="1">
      <w:start w:val="1"/>
      <w:numFmt w:val="bullet"/>
      <w:lvlText w:val=""/>
      <w:lvlJc w:val="left"/>
      <w:pPr>
        <w:ind w:left="5040" w:hanging="360"/>
      </w:pPr>
      <w:rPr>
        <w:rFonts w:ascii="Symbol" w:hAnsi="Symbol" w:hint="default"/>
      </w:rPr>
    </w:lvl>
    <w:lvl w:ilvl="7" w:tplc="914EFAC6" w:tentative="1">
      <w:start w:val="1"/>
      <w:numFmt w:val="bullet"/>
      <w:lvlText w:val="o"/>
      <w:lvlJc w:val="left"/>
      <w:pPr>
        <w:ind w:left="5760" w:hanging="360"/>
      </w:pPr>
      <w:rPr>
        <w:rFonts w:ascii="Courier New" w:hAnsi="Courier New" w:cs="Courier New" w:hint="default"/>
      </w:rPr>
    </w:lvl>
    <w:lvl w:ilvl="8" w:tplc="0682109C" w:tentative="1">
      <w:start w:val="1"/>
      <w:numFmt w:val="bullet"/>
      <w:lvlText w:val=""/>
      <w:lvlJc w:val="left"/>
      <w:pPr>
        <w:ind w:left="6480" w:hanging="360"/>
      </w:pPr>
      <w:rPr>
        <w:rFonts w:ascii="Wingdings" w:hAnsi="Wingdings" w:hint="default"/>
      </w:rPr>
    </w:lvl>
  </w:abstractNum>
  <w:abstractNum w:abstractNumId="8" w15:restartNumberingAfterBreak="0">
    <w:nsid w:val="307703D1"/>
    <w:multiLevelType w:val="hybridMultilevel"/>
    <w:tmpl w:val="19E01294"/>
    <w:lvl w:ilvl="0" w:tplc="2E0605B6">
      <w:start w:val="1"/>
      <w:numFmt w:val="bullet"/>
      <w:lvlText w:val=""/>
      <w:lvlJc w:val="left"/>
      <w:pPr>
        <w:ind w:left="360" w:hanging="360"/>
      </w:pPr>
      <w:rPr>
        <w:rFonts w:ascii="Symbol" w:hAnsi="Symbol" w:hint="default"/>
      </w:rPr>
    </w:lvl>
    <w:lvl w:ilvl="1" w:tplc="8D9C0E14" w:tentative="1">
      <w:start w:val="1"/>
      <w:numFmt w:val="bullet"/>
      <w:lvlText w:val="o"/>
      <w:lvlJc w:val="left"/>
      <w:pPr>
        <w:ind w:left="1080" w:hanging="360"/>
      </w:pPr>
      <w:rPr>
        <w:rFonts w:ascii="Courier New" w:hAnsi="Courier New" w:cs="Courier New" w:hint="default"/>
      </w:rPr>
    </w:lvl>
    <w:lvl w:ilvl="2" w:tplc="762A89BA" w:tentative="1">
      <w:start w:val="1"/>
      <w:numFmt w:val="bullet"/>
      <w:lvlText w:val=""/>
      <w:lvlJc w:val="left"/>
      <w:pPr>
        <w:ind w:left="1800" w:hanging="360"/>
      </w:pPr>
      <w:rPr>
        <w:rFonts w:ascii="Wingdings" w:hAnsi="Wingdings" w:hint="default"/>
      </w:rPr>
    </w:lvl>
    <w:lvl w:ilvl="3" w:tplc="29E0C04E" w:tentative="1">
      <w:start w:val="1"/>
      <w:numFmt w:val="bullet"/>
      <w:lvlText w:val=""/>
      <w:lvlJc w:val="left"/>
      <w:pPr>
        <w:ind w:left="2520" w:hanging="360"/>
      </w:pPr>
      <w:rPr>
        <w:rFonts w:ascii="Symbol" w:hAnsi="Symbol" w:hint="default"/>
      </w:rPr>
    </w:lvl>
    <w:lvl w:ilvl="4" w:tplc="FEC0A594" w:tentative="1">
      <w:start w:val="1"/>
      <w:numFmt w:val="bullet"/>
      <w:lvlText w:val="o"/>
      <w:lvlJc w:val="left"/>
      <w:pPr>
        <w:ind w:left="3240" w:hanging="360"/>
      </w:pPr>
      <w:rPr>
        <w:rFonts w:ascii="Courier New" w:hAnsi="Courier New" w:cs="Courier New" w:hint="default"/>
      </w:rPr>
    </w:lvl>
    <w:lvl w:ilvl="5" w:tplc="CF187772" w:tentative="1">
      <w:start w:val="1"/>
      <w:numFmt w:val="bullet"/>
      <w:lvlText w:val=""/>
      <w:lvlJc w:val="left"/>
      <w:pPr>
        <w:ind w:left="3960" w:hanging="360"/>
      </w:pPr>
      <w:rPr>
        <w:rFonts w:ascii="Wingdings" w:hAnsi="Wingdings" w:hint="default"/>
      </w:rPr>
    </w:lvl>
    <w:lvl w:ilvl="6" w:tplc="E7F2AEB4" w:tentative="1">
      <w:start w:val="1"/>
      <w:numFmt w:val="bullet"/>
      <w:lvlText w:val=""/>
      <w:lvlJc w:val="left"/>
      <w:pPr>
        <w:ind w:left="4680" w:hanging="360"/>
      </w:pPr>
      <w:rPr>
        <w:rFonts w:ascii="Symbol" w:hAnsi="Symbol" w:hint="default"/>
      </w:rPr>
    </w:lvl>
    <w:lvl w:ilvl="7" w:tplc="CA90A92C" w:tentative="1">
      <w:start w:val="1"/>
      <w:numFmt w:val="bullet"/>
      <w:lvlText w:val="o"/>
      <w:lvlJc w:val="left"/>
      <w:pPr>
        <w:ind w:left="5400" w:hanging="360"/>
      </w:pPr>
      <w:rPr>
        <w:rFonts w:ascii="Courier New" w:hAnsi="Courier New" w:cs="Courier New" w:hint="default"/>
      </w:rPr>
    </w:lvl>
    <w:lvl w:ilvl="8" w:tplc="AE348778" w:tentative="1">
      <w:start w:val="1"/>
      <w:numFmt w:val="bullet"/>
      <w:lvlText w:val=""/>
      <w:lvlJc w:val="left"/>
      <w:pPr>
        <w:ind w:left="6120" w:hanging="360"/>
      </w:pPr>
      <w:rPr>
        <w:rFonts w:ascii="Wingdings" w:hAnsi="Wingdings" w:hint="default"/>
      </w:rPr>
    </w:lvl>
  </w:abstractNum>
  <w:abstractNum w:abstractNumId="9" w15:restartNumberingAfterBreak="0">
    <w:nsid w:val="51336624"/>
    <w:multiLevelType w:val="hybridMultilevel"/>
    <w:tmpl w:val="2294C97A"/>
    <w:lvl w:ilvl="0" w:tplc="58DEBD52">
      <w:start w:val="1"/>
      <w:numFmt w:val="decimal"/>
      <w:lvlText w:val="%1."/>
      <w:lvlJc w:val="left"/>
      <w:pPr>
        <w:ind w:left="720" w:hanging="360"/>
      </w:pPr>
    </w:lvl>
    <w:lvl w:ilvl="1" w:tplc="8FB24312">
      <w:start w:val="1"/>
      <w:numFmt w:val="lowerLetter"/>
      <w:lvlText w:val="%2."/>
      <w:lvlJc w:val="left"/>
      <w:pPr>
        <w:ind w:left="1440" w:hanging="360"/>
      </w:pPr>
    </w:lvl>
    <w:lvl w:ilvl="2" w:tplc="985EBB34">
      <w:start w:val="1"/>
      <w:numFmt w:val="lowerRoman"/>
      <w:lvlText w:val="%3."/>
      <w:lvlJc w:val="right"/>
      <w:pPr>
        <w:ind w:left="2160" w:hanging="180"/>
      </w:pPr>
    </w:lvl>
    <w:lvl w:ilvl="3" w:tplc="594E7C16">
      <w:start w:val="1"/>
      <w:numFmt w:val="decimal"/>
      <w:lvlText w:val="%4."/>
      <w:lvlJc w:val="left"/>
      <w:pPr>
        <w:ind w:left="2880" w:hanging="360"/>
      </w:pPr>
    </w:lvl>
    <w:lvl w:ilvl="4" w:tplc="BD667012" w:tentative="1">
      <w:start w:val="1"/>
      <w:numFmt w:val="lowerLetter"/>
      <w:lvlText w:val="%5."/>
      <w:lvlJc w:val="left"/>
      <w:pPr>
        <w:ind w:left="3600" w:hanging="360"/>
      </w:pPr>
    </w:lvl>
    <w:lvl w:ilvl="5" w:tplc="CFC0955A" w:tentative="1">
      <w:start w:val="1"/>
      <w:numFmt w:val="lowerRoman"/>
      <w:lvlText w:val="%6."/>
      <w:lvlJc w:val="right"/>
      <w:pPr>
        <w:ind w:left="4320" w:hanging="180"/>
      </w:pPr>
    </w:lvl>
    <w:lvl w:ilvl="6" w:tplc="47B8B632" w:tentative="1">
      <w:start w:val="1"/>
      <w:numFmt w:val="decimal"/>
      <w:lvlText w:val="%7."/>
      <w:lvlJc w:val="left"/>
      <w:pPr>
        <w:ind w:left="5040" w:hanging="360"/>
      </w:pPr>
    </w:lvl>
    <w:lvl w:ilvl="7" w:tplc="50C06C0E" w:tentative="1">
      <w:start w:val="1"/>
      <w:numFmt w:val="lowerLetter"/>
      <w:lvlText w:val="%8."/>
      <w:lvlJc w:val="left"/>
      <w:pPr>
        <w:ind w:left="5760" w:hanging="360"/>
      </w:pPr>
    </w:lvl>
    <w:lvl w:ilvl="8" w:tplc="AE707ADE" w:tentative="1">
      <w:start w:val="1"/>
      <w:numFmt w:val="lowerRoman"/>
      <w:lvlText w:val="%9."/>
      <w:lvlJc w:val="right"/>
      <w:pPr>
        <w:ind w:left="6480" w:hanging="180"/>
      </w:pPr>
    </w:lvl>
  </w:abstractNum>
  <w:abstractNum w:abstractNumId="10" w15:restartNumberingAfterBreak="0">
    <w:nsid w:val="5CF72F16"/>
    <w:multiLevelType w:val="hybridMultilevel"/>
    <w:tmpl w:val="C05E57CC"/>
    <w:lvl w:ilvl="0" w:tplc="6890C704">
      <w:start w:val="1"/>
      <w:numFmt w:val="bullet"/>
      <w:lvlText w:val=""/>
      <w:lvlJc w:val="left"/>
      <w:pPr>
        <w:ind w:left="720" w:hanging="360"/>
      </w:pPr>
      <w:rPr>
        <w:rFonts w:ascii="Symbol" w:hAnsi="Symbol" w:hint="default"/>
      </w:rPr>
    </w:lvl>
    <w:lvl w:ilvl="1" w:tplc="7F7A11E4">
      <w:start w:val="1"/>
      <w:numFmt w:val="bullet"/>
      <w:lvlText w:val="o"/>
      <w:lvlJc w:val="left"/>
      <w:pPr>
        <w:ind w:left="1440" w:hanging="360"/>
      </w:pPr>
      <w:rPr>
        <w:rFonts w:ascii="Courier New" w:hAnsi="Courier New" w:cs="Courier New" w:hint="default"/>
      </w:rPr>
    </w:lvl>
    <w:lvl w:ilvl="2" w:tplc="B824D1E4" w:tentative="1">
      <w:start w:val="1"/>
      <w:numFmt w:val="bullet"/>
      <w:lvlText w:val=""/>
      <w:lvlJc w:val="left"/>
      <w:pPr>
        <w:ind w:left="2160" w:hanging="360"/>
      </w:pPr>
      <w:rPr>
        <w:rFonts w:ascii="Wingdings" w:hAnsi="Wingdings" w:hint="default"/>
      </w:rPr>
    </w:lvl>
    <w:lvl w:ilvl="3" w:tplc="C52E1A34" w:tentative="1">
      <w:start w:val="1"/>
      <w:numFmt w:val="bullet"/>
      <w:lvlText w:val=""/>
      <w:lvlJc w:val="left"/>
      <w:pPr>
        <w:ind w:left="2880" w:hanging="360"/>
      </w:pPr>
      <w:rPr>
        <w:rFonts w:ascii="Symbol" w:hAnsi="Symbol" w:hint="default"/>
      </w:rPr>
    </w:lvl>
    <w:lvl w:ilvl="4" w:tplc="B8F4FCBA" w:tentative="1">
      <w:start w:val="1"/>
      <w:numFmt w:val="bullet"/>
      <w:lvlText w:val="o"/>
      <w:lvlJc w:val="left"/>
      <w:pPr>
        <w:ind w:left="3600" w:hanging="360"/>
      </w:pPr>
      <w:rPr>
        <w:rFonts w:ascii="Courier New" w:hAnsi="Courier New" w:cs="Courier New" w:hint="default"/>
      </w:rPr>
    </w:lvl>
    <w:lvl w:ilvl="5" w:tplc="082029BE" w:tentative="1">
      <w:start w:val="1"/>
      <w:numFmt w:val="bullet"/>
      <w:lvlText w:val=""/>
      <w:lvlJc w:val="left"/>
      <w:pPr>
        <w:ind w:left="4320" w:hanging="360"/>
      </w:pPr>
      <w:rPr>
        <w:rFonts w:ascii="Wingdings" w:hAnsi="Wingdings" w:hint="default"/>
      </w:rPr>
    </w:lvl>
    <w:lvl w:ilvl="6" w:tplc="AE9ADCFC" w:tentative="1">
      <w:start w:val="1"/>
      <w:numFmt w:val="bullet"/>
      <w:lvlText w:val=""/>
      <w:lvlJc w:val="left"/>
      <w:pPr>
        <w:ind w:left="5040" w:hanging="360"/>
      </w:pPr>
      <w:rPr>
        <w:rFonts w:ascii="Symbol" w:hAnsi="Symbol" w:hint="default"/>
      </w:rPr>
    </w:lvl>
    <w:lvl w:ilvl="7" w:tplc="6BD2D2C2" w:tentative="1">
      <w:start w:val="1"/>
      <w:numFmt w:val="bullet"/>
      <w:lvlText w:val="o"/>
      <w:lvlJc w:val="left"/>
      <w:pPr>
        <w:ind w:left="5760" w:hanging="360"/>
      </w:pPr>
      <w:rPr>
        <w:rFonts w:ascii="Courier New" w:hAnsi="Courier New" w:cs="Courier New" w:hint="default"/>
      </w:rPr>
    </w:lvl>
    <w:lvl w:ilvl="8" w:tplc="ED6494E2" w:tentative="1">
      <w:start w:val="1"/>
      <w:numFmt w:val="bullet"/>
      <w:lvlText w:val=""/>
      <w:lvlJc w:val="left"/>
      <w:pPr>
        <w:ind w:left="6480" w:hanging="360"/>
      </w:pPr>
      <w:rPr>
        <w:rFonts w:ascii="Wingdings" w:hAnsi="Wingdings" w:hint="default"/>
      </w:rPr>
    </w:lvl>
  </w:abstractNum>
  <w:abstractNum w:abstractNumId="11" w15:restartNumberingAfterBreak="0">
    <w:nsid w:val="75BB5BC7"/>
    <w:multiLevelType w:val="hybridMultilevel"/>
    <w:tmpl w:val="7166D2E6"/>
    <w:lvl w:ilvl="0" w:tplc="18FCEEA6">
      <w:start w:val="1"/>
      <w:numFmt w:val="bullet"/>
      <w:lvlText w:val="o"/>
      <w:lvlJc w:val="left"/>
      <w:pPr>
        <w:ind w:left="1500" w:hanging="360"/>
      </w:pPr>
      <w:rPr>
        <w:rFonts w:ascii="Courier New" w:hAnsi="Courier New" w:cs="Courier New" w:hint="default"/>
      </w:rPr>
    </w:lvl>
    <w:lvl w:ilvl="1" w:tplc="E9B08CF8" w:tentative="1">
      <w:start w:val="1"/>
      <w:numFmt w:val="bullet"/>
      <w:lvlText w:val="o"/>
      <w:lvlJc w:val="left"/>
      <w:pPr>
        <w:ind w:left="2220" w:hanging="360"/>
      </w:pPr>
      <w:rPr>
        <w:rFonts w:ascii="Courier New" w:hAnsi="Courier New" w:cs="Courier New" w:hint="default"/>
      </w:rPr>
    </w:lvl>
    <w:lvl w:ilvl="2" w:tplc="6CFC6F64" w:tentative="1">
      <w:start w:val="1"/>
      <w:numFmt w:val="bullet"/>
      <w:lvlText w:val=""/>
      <w:lvlJc w:val="left"/>
      <w:pPr>
        <w:ind w:left="2940" w:hanging="360"/>
      </w:pPr>
      <w:rPr>
        <w:rFonts w:ascii="Wingdings" w:hAnsi="Wingdings" w:hint="default"/>
      </w:rPr>
    </w:lvl>
    <w:lvl w:ilvl="3" w:tplc="BCE665B8" w:tentative="1">
      <w:start w:val="1"/>
      <w:numFmt w:val="bullet"/>
      <w:lvlText w:val=""/>
      <w:lvlJc w:val="left"/>
      <w:pPr>
        <w:ind w:left="3660" w:hanging="360"/>
      </w:pPr>
      <w:rPr>
        <w:rFonts w:ascii="Symbol" w:hAnsi="Symbol" w:hint="default"/>
      </w:rPr>
    </w:lvl>
    <w:lvl w:ilvl="4" w:tplc="A9221036" w:tentative="1">
      <w:start w:val="1"/>
      <w:numFmt w:val="bullet"/>
      <w:lvlText w:val="o"/>
      <w:lvlJc w:val="left"/>
      <w:pPr>
        <w:ind w:left="4380" w:hanging="360"/>
      </w:pPr>
      <w:rPr>
        <w:rFonts w:ascii="Courier New" w:hAnsi="Courier New" w:cs="Courier New" w:hint="default"/>
      </w:rPr>
    </w:lvl>
    <w:lvl w:ilvl="5" w:tplc="3202E95A" w:tentative="1">
      <w:start w:val="1"/>
      <w:numFmt w:val="bullet"/>
      <w:lvlText w:val=""/>
      <w:lvlJc w:val="left"/>
      <w:pPr>
        <w:ind w:left="5100" w:hanging="360"/>
      </w:pPr>
      <w:rPr>
        <w:rFonts w:ascii="Wingdings" w:hAnsi="Wingdings" w:hint="default"/>
      </w:rPr>
    </w:lvl>
    <w:lvl w:ilvl="6" w:tplc="BEB48CBA" w:tentative="1">
      <w:start w:val="1"/>
      <w:numFmt w:val="bullet"/>
      <w:lvlText w:val=""/>
      <w:lvlJc w:val="left"/>
      <w:pPr>
        <w:ind w:left="5820" w:hanging="360"/>
      </w:pPr>
      <w:rPr>
        <w:rFonts w:ascii="Symbol" w:hAnsi="Symbol" w:hint="default"/>
      </w:rPr>
    </w:lvl>
    <w:lvl w:ilvl="7" w:tplc="4552DEF0" w:tentative="1">
      <w:start w:val="1"/>
      <w:numFmt w:val="bullet"/>
      <w:lvlText w:val="o"/>
      <w:lvlJc w:val="left"/>
      <w:pPr>
        <w:ind w:left="6540" w:hanging="360"/>
      </w:pPr>
      <w:rPr>
        <w:rFonts w:ascii="Courier New" w:hAnsi="Courier New" w:cs="Courier New" w:hint="default"/>
      </w:rPr>
    </w:lvl>
    <w:lvl w:ilvl="8" w:tplc="2006F178" w:tentative="1">
      <w:start w:val="1"/>
      <w:numFmt w:val="bullet"/>
      <w:lvlText w:val=""/>
      <w:lvlJc w:val="left"/>
      <w:pPr>
        <w:ind w:left="7260" w:hanging="360"/>
      </w:pPr>
      <w:rPr>
        <w:rFonts w:ascii="Wingdings" w:hAnsi="Wingdings" w:hint="default"/>
      </w:rPr>
    </w:lvl>
  </w:abstractNum>
  <w:abstractNum w:abstractNumId="12" w15:restartNumberingAfterBreak="0">
    <w:nsid w:val="77000794"/>
    <w:multiLevelType w:val="hybridMultilevel"/>
    <w:tmpl w:val="74BCD6E0"/>
    <w:lvl w:ilvl="0" w:tplc="8514CD26">
      <w:start w:val="4"/>
      <w:numFmt w:val="bullet"/>
      <w:lvlText w:val=""/>
      <w:lvlJc w:val="left"/>
      <w:pPr>
        <w:ind w:left="360" w:hanging="360"/>
      </w:pPr>
      <w:rPr>
        <w:rFonts w:ascii="Symbol" w:eastAsiaTheme="minorHAnsi" w:hAnsi="Symbol" w:cs="David" w:hint="default"/>
      </w:rPr>
    </w:lvl>
    <w:lvl w:ilvl="1" w:tplc="C0B0B160" w:tentative="1">
      <w:start w:val="1"/>
      <w:numFmt w:val="bullet"/>
      <w:lvlText w:val="o"/>
      <w:lvlJc w:val="left"/>
      <w:pPr>
        <w:ind w:left="1080" w:hanging="360"/>
      </w:pPr>
      <w:rPr>
        <w:rFonts w:ascii="Courier New" w:hAnsi="Courier New" w:cs="Courier New" w:hint="default"/>
      </w:rPr>
    </w:lvl>
    <w:lvl w:ilvl="2" w:tplc="1E063B1C" w:tentative="1">
      <w:start w:val="1"/>
      <w:numFmt w:val="bullet"/>
      <w:lvlText w:val=""/>
      <w:lvlJc w:val="left"/>
      <w:pPr>
        <w:ind w:left="1800" w:hanging="360"/>
      </w:pPr>
      <w:rPr>
        <w:rFonts w:ascii="Wingdings" w:hAnsi="Wingdings" w:hint="default"/>
      </w:rPr>
    </w:lvl>
    <w:lvl w:ilvl="3" w:tplc="0A9A0476" w:tentative="1">
      <w:start w:val="1"/>
      <w:numFmt w:val="bullet"/>
      <w:lvlText w:val=""/>
      <w:lvlJc w:val="left"/>
      <w:pPr>
        <w:ind w:left="2520" w:hanging="360"/>
      </w:pPr>
      <w:rPr>
        <w:rFonts w:ascii="Symbol" w:hAnsi="Symbol" w:hint="default"/>
      </w:rPr>
    </w:lvl>
    <w:lvl w:ilvl="4" w:tplc="8AC8B12C" w:tentative="1">
      <w:start w:val="1"/>
      <w:numFmt w:val="bullet"/>
      <w:lvlText w:val="o"/>
      <w:lvlJc w:val="left"/>
      <w:pPr>
        <w:ind w:left="3240" w:hanging="360"/>
      </w:pPr>
      <w:rPr>
        <w:rFonts w:ascii="Courier New" w:hAnsi="Courier New" w:cs="Courier New" w:hint="default"/>
      </w:rPr>
    </w:lvl>
    <w:lvl w:ilvl="5" w:tplc="97947044" w:tentative="1">
      <w:start w:val="1"/>
      <w:numFmt w:val="bullet"/>
      <w:lvlText w:val=""/>
      <w:lvlJc w:val="left"/>
      <w:pPr>
        <w:ind w:left="3960" w:hanging="360"/>
      </w:pPr>
      <w:rPr>
        <w:rFonts w:ascii="Wingdings" w:hAnsi="Wingdings" w:hint="default"/>
      </w:rPr>
    </w:lvl>
    <w:lvl w:ilvl="6" w:tplc="77F0BB78" w:tentative="1">
      <w:start w:val="1"/>
      <w:numFmt w:val="bullet"/>
      <w:lvlText w:val=""/>
      <w:lvlJc w:val="left"/>
      <w:pPr>
        <w:ind w:left="4680" w:hanging="360"/>
      </w:pPr>
      <w:rPr>
        <w:rFonts w:ascii="Symbol" w:hAnsi="Symbol" w:hint="default"/>
      </w:rPr>
    </w:lvl>
    <w:lvl w:ilvl="7" w:tplc="A27CE9E2" w:tentative="1">
      <w:start w:val="1"/>
      <w:numFmt w:val="bullet"/>
      <w:lvlText w:val="o"/>
      <w:lvlJc w:val="left"/>
      <w:pPr>
        <w:ind w:left="5400" w:hanging="360"/>
      </w:pPr>
      <w:rPr>
        <w:rFonts w:ascii="Courier New" w:hAnsi="Courier New" w:cs="Courier New" w:hint="default"/>
      </w:rPr>
    </w:lvl>
    <w:lvl w:ilvl="8" w:tplc="0E1499BE"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2"/>
  </w:num>
  <w:num w:numId="4">
    <w:abstractNumId w:val="1"/>
  </w:num>
  <w:num w:numId="5">
    <w:abstractNumId w:val="6"/>
  </w:num>
  <w:num w:numId="6">
    <w:abstractNumId w:val="0"/>
  </w:num>
  <w:num w:numId="7">
    <w:abstractNumId w:val="7"/>
  </w:num>
  <w:num w:numId="8">
    <w:abstractNumId w:val="10"/>
  </w:num>
  <w:num w:numId="9">
    <w:abstractNumId w:val="11"/>
  </w:num>
  <w:num w:numId="10">
    <w:abstractNumId w:val="8"/>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EC"/>
    <w:rsid w:val="00026B46"/>
    <w:rsid w:val="000446B4"/>
    <w:rsid w:val="00055B2F"/>
    <w:rsid w:val="000622E6"/>
    <w:rsid w:val="000712C0"/>
    <w:rsid w:val="00082DF5"/>
    <w:rsid w:val="00085B8F"/>
    <w:rsid w:val="000951BD"/>
    <w:rsid w:val="000B0874"/>
    <w:rsid w:val="000B5247"/>
    <w:rsid w:val="000D0D88"/>
    <w:rsid w:val="000D6DCC"/>
    <w:rsid w:val="000E516F"/>
    <w:rsid w:val="001057C8"/>
    <w:rsid w:val="00111E3B"/>
    <w:rsid w:val="00112D80"/>
    <w:rsid w:val="0013718D"/>
    <w:rsid w:val="001419E0"/>
    <w:rsid w:val="00147C52"/>
    <w:rsid w:val="001511CA"/>
    <w:rsid w:val="001631DE"/>
    <w:rsid w:val="001736C2"/>
    <w:rsid w:val="00174A1B"/>
    <w:rsid w:val="00186AB4"/>
    <w:rsid w:val="001A7ADF"/>
    <w:rsid w:val="001C1700"/>
    <w:rsid w:val="001F3AB3"/>
    <w:rsid w:val="001F4722"/>
    <w:rsid w:val="001F4952"/>
    <w:rsid w:val="002032B1"/>
    <w:rsid w:val="00210CA2"/>
    <w:rsid w:val="002132D2"/>
    <w:rsid w:val="002143A8"/>
    <w:rsid w:val="00216C77"/>
    <w:rsid w:val="00244276"/>
    <w:rsid w:val="002470E7"/>
    <w:rsid w:val="002561F8"/>
    <w:rsid w:val="00271A78"/>
    <w:rsid w:val="00287323"/>
    <w:rsid w:val="00287A57"/>
    <w:rsid w:val="00291610"/>
    <w:rsid w:val="002A1A86"/>
    <w:rsid w:val="002B2F37"/>
    <w:rsid w:val="002D2B06"/>
    <w:rsid w:val="002F52AE"/>
    <w:rsid w:val="003031B3"/>
    <w:rsid w:val="00304411"/>
    <w:rsid w:val="003104C0"/>
    <w:rsid w:val="003106A9"/>
    <w:rsid w:val="00312879"/>
    <w:rsid w:val="0034049F"/>
    <w:rsid w:val="003572EC"/>
    <w:rsid w:val="00360366"/>
    <w:rsid w:val="00360745"/>
    <w:rsid w:val="003773A7"/>
    <w:rsid w:val="00383BCB"/>
    <w:rsid w:val="0038541D"/>
    <w:rsid w:val="003906C0"/>
    <w:rsid w:val="00390727"/>
    <w:rsid w:val="003935EC"/>
    <w:rsid w:val="00395D8B"/>
    <w:rsid w:val="00397DC3"/>
    <w:rsid w:val="003A5B5F"/>
    <w:rsid w:val="003B3D23"/>
    <w:rsid w:val="003B433E"/>
    <w:rsid w:val="003C3CDB"/>
    <w:rsid w:val="003D7C1D"/>
    <w:rsid w:val="003E32A8"/>
    <w:rsid w:val="003F7787"/>
    <w:rsid w:val="00422055"/>
    <w:rsid w:val="00424B4C"/>
    <w:rsid w:val="00426DF8"/>
    <w:rsid w:val="00440CED"/>
    <w:rsid w:val="00442814"/>
    <w:rsid w:val="00442C3B"/>
    <w:rsid w:val="00443AB4"/>
    <w:rsid w:val="00450812"/>
    <w:rsid w:val="00452410"/>
    <w:rsid w:val="004614E8"/>
    <w:rsid w:val="004653AB"/>
    <w:rsid w:val="004C1523"/>
    <w:rsid w:val="004C1650"/>
    <w:rsid w:val="004C5323"/>
    <w:rsid w:val="004E66EC"/>
    <w:rsid w:val="00500052"/>
    <w:rsid w:val="00506E41"/>
    <w:rsid w:val="0051654F"/>
    <w:rsid w:val="00551228"/>
    <w:rsid w:val="0058531C"/>
    <w:rsid w:val="00593D1A"/>
    <w:rsid w:val="005A76EC"/>
    <w:rsid w:val="005B21AC"/>
    <w:rsid w:val="005B6A16"/>
    <w:rsid w:val="005B717C"/>
    <w:rsid w:val="005D58C2"/>
    <w:rsid w:val="0060735D"/>
    <w:rsid w:val="00632B65"/>
    <w:rsid w:val="00637F54"/>
    <w:rsid w:val="0067168D"/>
    <w:rsid w:val="00696626"/>
    <w:rsid w:val="006B1002"/>
    <w:rsid w:val="006C4F45"/>
    <w:rsid w:val="006D3A2F"/>
    <w:rsid w:val="0070313F"/>
    <w:rsid w:val="007211B4"/>
    <w:rsid w:val="00743A3B"/>
    <w:rsid w:val="00745BD1"/>
    <w:rsid w:val="0077431A"/>
    <w:rsid w:val="00784556"/>
    <w:rsid w:val="00785C2A"/>
    <w:rsid w:val="007C112A"/>
    <w:rsid w:val="007F31D4"/>
    <w:rsid w:val="00806865"/>
    <w:rsid w:val="008170F0"/>
    <w:rsid w:val="00822FDB"/>
    <w:rsid w:val="008412D3"/>
    <w:rsid w:val="00845397"/>
    <w:rsid w:val="00850881"/>
    <w:rsid w:val="0085382F"/>
    <w:rsid w:val="00854C8A"/>
    <w:rsid w:val="008762EF"/>
    <w:rsid w:val="00885BCF"/>
    <w:rsid w:val="00885FB5"/>
    <w:rsid w:val="00886F2A"/>
    <w:rsid w:val="008C2146"/>
    <w:rsid w:val="008D1105"/>
    <w:rsid w:val="008D1B2F"/>
    <w:rsid w:val="008D23BE"/>
    <w:rsid w:val="008D4786"/>
    <w:rsid w:val="009059DB"/>
    <w:rsid w:val="00917D6B"/>
    <w:rsid w:val="00953333"/>
    <w:rsid w:val="009543EF"/>
    <w:rsid w:val="0096540B"/>
    <w:rsid w:val="0097215B"/>
    <w:rsid w:val="00976621"/>
    <w:rsid w:val="00977BCC"/>
    <w:rsid w:val="009C1DD2"/>
    <w:rsid w:val="009C264D"/>
    <w:rsid w:val="009D20DD"/>
    <w:rsid w:val="009E6AFC"/>
    <w:rsid w:val="009E7219"/>
    <w:rsid w:val="009F042A"/>
    <w:rsid w:val="00A02326"/>
    <w:rsid w:val="00A25886"/>
    <w:rsid w:val="00A26F80"/>
    <w:rsid w:val="00A33D00"/>
    <w:rsid w:val="00A41E45"/>
    <w:rsid w:val="00A4547A"/>
    <w:rsid w:val="00A45E67"/>
    <w:rsid w:val="00A57154"/>
    <w:rsid w:val="00A66596"/>
    <w:rsid w:val="00A745B3"/>
    <w:rsid w:val="00A9319C"/>
    <w:rsid w:val="00AA021D"/>
    <w:rsid w:val="00AA3DA9"/>
    <w:rsid w:val="00AC291C"/>
    <w:rsid w:val="00AC6A87"/>
    <w:rsid w:val="00AE2948"/>
    <w:rsid w:val="00AF4B9D"/>
    <w:rsid w:val="00B017BD"/>
    <w:rsid w:val="00B13749"/>
    <w:rsid w:val="00B220DF"/>
    <w:rsid w:val="00B33457"/>
    <w:rsid w:val="00B35CE3"/>
    <w:rsid w:val="00B44C92"/>
    <w:rsid w:val="00B54399"/>
    <w:rsid w:val="00B7126D"/>
    <w:rsid w:val="00B73061"/>
    <w:rsid w:val="00B770B0"/>
    <w:rsid w:val="00B7733B"/>
    <w:rsid w:val="00B823CF"/>
    <w:rsid w:val="00B87750"/>
    <w:rsid w:val="00BB0507"/>
    <w:rsid w:val="00BC1F22"/>
    <w:rsid w:val="00BD2B60"/>
    <w:rsid w:val="00BE65FA"/>
    <w:rsid w:val="00BF10E9"/>
    <w:rsid w:val="00BF5A49"/>
    <w:rsid w:val="00C14CA1"/>
    <w:rsid w:val="00C22806"/>
    <w:rsid w:val="00C348FD"/>
    <w:rsid w:val="00C50F55"/>
    <w:rsid w:val="00C86AE8"/>
    <w:rsid w:val="00CB3B40"/>
    <w:rsid w:val="00CC0DF8"/>
    <w:rsid w:val="00CC513D"/>
    <w:rsid w:val="00CE4B92"/>
    <w:rsid w:val="00CF758F"/>
    <w:rsid w:val="00D143D7"/>
    <w:rsid w:val="00D15012"/>
    <w:rsid w:val="00D250C7"/>
    <w:rsid w:val="00D26CDB"/>
    <w:rsid w:val="00D3259D"/>
    <w:rsid w:val="00D3797D"/>
    <w:rsid w:val="00D40E4B"/>
    <w:rsid w:val="00D46955"/>
    <w:rsid w:val="00D47F4E"/>
    <w:rsid w:val="00D861E7"/>
    <w:rsid w:val="00D93C4B"/>
    <w:rsid w:val="00DA6FB3"/>
    <w:rsid w:val="00DB40F5"/>
    <w:rsid w:val="00DB64BD"/>
    <w:rsid w:val="00DB7512"/>
    <w:rsid w:val="00DC0BDA"/>
    <w:rsid w:val="00DD5598"/>
    <w:rsid w:val="00E02559"/>
    <w:rsid w:val="00E1150B"/>
    <w:rsid w:val="00E14044"/>
    <w:rsid w:val="00E33900"/>
    <w:rsid w:val="00E35145"/>
    <w:rsid w:val="00E402F6"/>
    <w:rsid w:val="00E44ACB"/>
    <w:rsid w:val="00E6283F"/>
    <w:rsid w:val="00E729DA"/>
    <w:rsid w:val="00E74913"/>
    <w:rsid w:val="00E76921"/>
    <w:rsid w:val="00EA326E"/>
    <w:rsid w:val="00ED5063"/>
    <w:rsid w:val="00ED58CF"/>
    <w:rsid w:val="00EE68E0"/>
    <w:rsid w:val="00EF5393"/>
    <w:rsid w:val="00EF6000"/>
    <w:rsid w:val="00F005FC"/>
    <w:rsid w:val="00F03159"/>
    <w:rsid w:val="00F05545"/>
    <w:rsid w:val="00F062B1"/>
    <w:rsid w:val="00F12E0A"/>
    <w:rsid w:val="00F13CDF"/>
    <w:rsid w:val="00F37A36"/>
    <w:rsid w:val="00F467DD"/>
    <w:rsid w:val="00F4777D"/>
    <w:rsid w:val="00F51324"/>
    <w:rsid w:val="00F52254"/>
    <w:rsid w:val="00F53E4C"/>
    <w:rsid w:val="00F67732"/>
    <w:rsid w:val="00F70566"/>
    <w:rsid w:val="00F86669"/>
    <w:rsid w:val="00F86C65"/>
    <w:rsid w:val="00F90443"/>
    <w:rsid w:val="00FB3629"/>
    <w:rsid w:val="00FB7848"/>
    <w:rsid w:val="00FC24E9"/>
    <w:rsid w:val="00FC5254"/>
    <w:rsid w:val="00FE27A7"/>
    <w:rsid w:val="00FE3EBA"/>
    <w:rsid w:val="00FF4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52CAA"/>
  <w15:chartTrackingRefBased/>
  <w15:docId w15:val="{3D54A004-E210-4055-87EF-E5FD6FF5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5EC"/>
    <w:pPr>
      <w:bidi/>
    </w:pPr>
  </w:style>
  <w:style w:type="paragraph" w:styleId="1">
    <w:name w:val="heading 1"/>
    <w:basedOn w:val="a"/>
    <w:next w:val="a"/>
    <w:link w:val="10"/>
    <w:uiPriority w:val="9"/>
    <w:qFormat/>
    <w:rsid w:val="003044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05545"/>
    <w:pPr>
      <w:keepNext/>
      <w:keepLines/>
      <w:spacing w:before="40" w:after="0" w:line="240" w:lineRule="auto"/>
      <w:outlineLvl w:val="1"/>
    </w:pPr>
    <w:rPr>
      <w:rFonts w:asciiTheme="majorHAnsi" w:eastAsiaTheme="majorEastAsia" w:hAnsiTheme="majorHAnsi" w:cstheme="majorBidi"/>
      <w:b/>
      <w:bCs/>
      <w:color w:val="FFFFFF" w:themeColor="background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1D4"/>
    <w:pPr>
      <w:ind w:left="720"/>
      <w:contextualSpacing/>
    </w:pPr>
    <w:rPr>
      <w:rFonts w:asciiTheme="minorHAnsi" w:hAnsiTheme="minorHAnsi" w:cstheme="minorBidi"/>
      <w:sz w:val="22"/>
      <w:szCs w:val="22"/>
    </w:rPr>
  </w:style>
  <w:style w:type="character" w:styleId="a4">
    <w:name w:val="annotation reference"/>
    <w:basedOn w:val="a0"/>
    <w:uiPriority w:val="99"/>
    <w:semiHidden/>
    <w:unhideWhenUsed/>
    <w:rsid w:val="007F31D4"/>
    <w:rPr>
      <w:sz w:val="16"/>
      <w:szCs w:val="16"/>
    </w:rPr>
  </w:style>
  <w:style w:type="paragraph" w:styleId="a5">
    <w:name w:val="annotation text"/>
    <w:basedOn w:val="a"/>
    <w:link w:val="a6"/>
    <w:uiPriority w:val="99"/>
    <w:semiHidden/>
    <w:unhideWhenUsed/>
    <w:rsid w:val="007F31D4"/>
    <w:pPr>
      <w:spacing w:line="240" w:lineRule="auto"/>
    </w:pPr>
    <w:rPr>
      <w:sz w:val="20"/>
      <w:szCs w:val="20"/>
    </w:rPr>
  </w:style>
  <w:style w:type="character" w:customStyle="1" w:styleId="a6">
    <w:name w:val="טקסט הערה תו"/>
    <w:basedOn w:val="a0"/>
    <w:link w:val="a5"/>
    <w:uiPriority w:val="99"/>
    <w:semiHidden/>
    <w:rsid w:val="007F31D4"/>
    <w:rPr>
      <w:sz w:val="20"/>
      <w:szCs w:val="20"/>
    </w:rPr>
  </w:style>
  <w:style w:type="paragraph" w:styleId="a7">
    <w:name w:val="Balloon Text"/>
    <w:basedOn w:val="a"/>
    <w:link w:val="a8"/>
    <w:uiPriority w:val="99"/>
    <w:semiHidden/>
    <w:unhideWhenUsed/>
    <w:rsid w:val="007F31D4"/>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F31D4"/>
    <w:rPr>
      <w:rFonts w:ascii="Tahoma" w:hAnsi="Tahoma" w:cs="Tahoma"/>
      <w:sz w:val="18"/>
      <w:szCs w:val="18"/>
    </w:rPr>
  </w:style>
  <w:style w:type="paragraph" w:styleId="a9">
    <w:name w:val="header"/>
    <w:basedOn w:val="a"/>
    <w:link w:val="aa"/>
    <w:uiPriority w:val="99"/>
    <w:unhideWhenUsed/>
    <w:rsid w:val="009543EF"/>
    <w:pPr>
      <w:tabs>
        <w:tab w:val="center" w:pos="4153"/>
        <w:tab w:val="right" w:pos="8306"/>
      </w:tabs>
      <w:spacing w:after="0" w:line="240" w:lineRule="auto"/>
    </w:pPr>
  </w:style>
  <w:style w:type="character" w:customStyle="1" w:styleId="aa">
    <w:name w:val="כותרת עליונה תו"/>
    <w:basedOn w:val="a0"/>
    <w:link w:val="a9"/>
    <w:uiPriority w:val="99"/>
    <w:rsid w:val="009543EF"/>
  </w:style>
  <w:style w:type="paragraph" w:styleId="ab">
    <w:name w:val="footer"/>
    <w:basedOn w:val="a"/>
    <w:link w:val="ac"/>
    <w:uiPriority w:val="99"/>
    <w:unhideWhenUsed/>
    <w:rsid w:val="009543EF"/>
    <w:pPr>
      <w:tabs>
        <w:tab w:val="center" w:pos="4153"/>
        <w:tab w:val="right" w:pos="8306"/>
      </w:tabs>
      <w:spacing w:after="0" w:line="240" w:lineRule="auto"/>
    </w:pPr>
  </w:style>
  <w:style w:type="character" w:customStyle="1" w:styleId="ac">
    <w:name w:val="כותרת תחתונה תו"/>
    <w:basedOn w:val="a0"/>
    <w:link w:val="ab"/>
    <w:uiPriority w:val="99"/>
    <w:rsid w:val="009543EF"/>
  </w:style>
  <w:style w:type="table" w:styleId="ad">
    <w:name w:val="Table Grid"/>
    <w:basedOn w:val="a1"/>
    <w:uiPriority w:val="39"/>
    <w:rsid w:val="00C1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uiPriority w:val="99"/>
    <w:semiHidden/>
    <w:unhideWhenUsed/>
    <w:rsid w:val="00E14044"/>
    <w:rPr>
      <w:b/>
      <w:bCs/>
    </w:rPr>
  </w:style>
  <w:style w:type="character" w:customStyle="1" w:styleId="af">
    <w:name w:val="נושא הערה תו"/>
    <w:basedOn w:val="a6"/>
    <w:link w:val="ae"/>
    <w:uiPriority w:val="99"/>
    <w:semiHidden/>
    <w:rsid w:val="00E14044"/>
    <w:rPr>
      <w:b/>
      <w:bCs/>
      <w:sz w:val="20"/>
      <w:szCs w:val="20"/>
    </w:rPr>
  </w:style>
  <w:style w:type="paragraph" w:styleId="af0">
    <w:name w:val="Revision"/>
    <w:hidden/>
    <w:uiPriority w:val="99"/>
    <w:semiHidden/>
    <w:rsid w:val="001A7ADF"/>
    <w:pPr>
      <w:spacing w:after="0" w:line="240" w:lineRule="auto"/>
    </w:pPr>
  </w:style>
  <w:style w:type="character" w:customStyle="1" w:styleId="10">
    <w:name w:val="כותרת 1 תו"/>
    <w:basedOn w:val="a0"/>
    <w:link w:val="1"/>
    <w:uiPriority w:val="9"/>
    <w:rsid w:val="00304411"/>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F05545"/>
    <w:rPr>
      <w:rFonts w:asciiTheme="majorHAnsi" w:eastAsiaTheme="majorEastAsia" w:hAnsiTheme="majorHAnsi" w:cstheme="majorBidi"/>
      <w:b/>
      <w:bCs/>
      <w:color w:val="FFFFFF" w:themeColor="background1"/>
      <w:sz w:val="26"/>
      <w:szCs w:val="26"/>
    </w:rPr>
  </w:style>
  <w:style w:type="paragraph" w:styleId="af1">
    <w:name w:val="TOC Heading"/>
    <w:basedOn w:val="1"/>
    <w:next w:val="a"/>
    <w:uiPriority w:val="39"/>
    <w:unhideWhenUsed/>
    <w:qFormat/>
    <w:rsid w:val="00DC0BDA"/>
    <w:pPr>
      <w:outlineLvl w:val="9"/>
    </w:pPr>
    <w:rPr>
      <w:rtl/>
      <w:cs/>
    </w:rPr>
  </w:style>
  <w:style w:type="paragraph" w:styleId="TOC2">
    <w:name w:val="toc 2"/>
    <w:basedOn w:val="a"/>
    <w:next w:val="a"/>
    <w:autoRedefine/>
    <w:uiPriority w:val="39"/>
    <w:unhideWhenUsed/>
    <w:rsid w:val="00DC0BDA"/>
    <w:pPr>
      <w:spacing w:after="100"/>
      <w:ind w:left="240"/>
    </w:pPr>
  </w:style>
  <w:style w:type="character" w:styleId="Hyperlink">
    <w:name w:val="Hyperlink"/>
    <w:basedOn w:val="a0"/>
    <w:uiPriority w:val="99"/>
    <w:unhideWhenUsed/>
    <w:rsid w:val="00DC0BDA"/>
    <w:rPr>
      <w:color w:val="0563C1" w:themeColor="hyperlink"/>
      <w:u w:val="single"/>
    </w:rPr>
  </w:style>
  <w:style w:type="paragraph" w:styleId="TOC1">
    <w:name w:val="toc 1"/>
    <w:basedOn w:val="a"/>
    <w:next w:val="a"/>
    <w:autoRedefine/>
    <w:uiPriority w:val="39"/>
    <w:unhideWhenUsed/>
    <w:rsid w:val="00845397"/>
    <w:pPr>
      <w:tabs>
        <w:tab w:val="right" w:leader="dot" w:pos="8296"/>
      </w:tabs>
      <w:spacing w:after="100"/>
    </w:pPr>
  </w:style>
  <w:style w:type="paragraph" w:customStyle="1" w:styleId="m1286092369833061930msoheader">
    <w:name w:val="m_1286092369833061930msoheader"/>
    <w:basedOn w:val="a"/>
    <w:rsid w:val="00DA6FB3"/>
    <w:pPr>
      <w:bidi w:val="0"/>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B70D02-74DF-4BC0-B6B4-0DF6DCDD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4159</Words>
  <Characters>20795</Characters>
  <Application>Microsoft Office Word</Application>
  <DocSecurity>0</DocSecurity>
  <Lines>173</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Lerer</dc:creator>
  <cp:lastModifiedBy>Lynn Lerer</cp:lastModifiedBy>
  <cp:revision>18</cp:revision>
  <dcterms:created xsi:type="dcterms:W3CDTF">2021-10-24T08:22:00Z</dcterms:created>
  <dcterms:modified xsi:type="dcterms:W3CDTF">2021-10-24T12:36:00Z</dcterms:modified>
</cp:coreProperties>
</file>